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1106EA" w:rsidRDefault="00553ADE" w:rsidP="00032450">
      <w:pPr>
        <w:spacing w:after="0" w:line="276" w:lineRule="auto"/>
        <w:jc w:val="both"/>
        <w:rPr>
          <w:rFonts w:ascii="Tahoma" w:hAnsi="Tahoma" w:cs="Tahoma"/>
          <w:b/>
          <w:sz w:val="24"/>
          <w:szCs w:val="24"/>
        </w:rPr>
      </w:pPr>
      <w:r w:rsidRPr="001106EA">
        <w:rPr>
          <w:rFonts w:ascii="Tahoma" w:hAnsi="Tahoma" w:cs="Tahoma"/>
          <w:b/>
          <w:sz w:val="24"/>
          <w:szCs w:val="24"/>
        </w:rPr>
        <w:t xml:space="preserve">VOTO PARTICULAR QUE FORMULA EL COMISIONADO LUIS GUSTAVO PARRA NORIEGA, EN RELACIÓN CON LA RESOLUCIÓN DEL RECURSO DE REVISIÓN </w:t>
      </w:r>
      <w:r w:rsidR="00EC3F95">
        <w:rPr>
          <w:rFonts w:ascii="Tahoma" w:hAnsi="Tahoma" w:cs="Tahoma"/>
          <w:b/>
          <w:bCs/>
          <w:sz w:val="24"/>
          <w:szCs w:val="24"/>
        </w:rPr>
        <w:t>02731</w:t>
      </w:r>
      <w:r w:rsidRPr="001106EA">
        <w:rPr>
          <w:rFonts w:ascii="Tahoma" w:hAnsi="Tahoma" w:cs="Tahoma"/>
          <w:b/>
          <w:bCs/>
          <w:sz w:val="24"/>
          <w:szCs w:val="24"/>
        </w:rPr>
        <w:t xml:space="preserve">/INFOEM/IP/RR/2018 </w:t>
      </w:r>
      <w:r w:rsidRPr="001106EA">
        <w:rPr>
          <w:rFonts w:ascii="Tahoma" w:hAnsi="Tahoma" w:cs="Tahoma"/>
          <w:b/>
          <w:sz w:val="24"/>
          <w:szCs w:val="24"/>
        </w:rPr>
        <w:t xml:space="preserve">PROMOVIDO EN CONTRA DEL AYUNTAMIENTO DE </w:t>
      </w:r>
      <w:r w:rsidR="00EC3F95">
        <w:rPr>
          <w:rFonts w:ascii="Tahoma" w:hAnsi="Tahoma" w:cs="Tahoma"/>
          <w:b/>
          <w:sz w:val="24"/>
          <w:szCs w:val="24"/>
        </w:rPr>
        <w:t>ZUMPANGO</w:t>
      </w:r>
      <w:r w:rsidRPr="001106EA">
        <w:rPr>
          <w:rFonts w:ascii="Tahoma" w:hAnsi="Tahoma" w:cs="Tahoma"/>
          <w:b/>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términos de lo dispuesto por el artículo </w:t>
      </w:r>
      <w:r w:rsidR="00927BD1" w:rsidRPr="001106EA">
        <w:rPr>
          <w:rFonts w:ascii="Tahoma" w:hAnsi="Tahoma" w:cs="Tahoma"/>
          <w:sz w:val="24"/>
          <w:szCs w:val="24"/>
        </w:rPr>
        <w:t xml:space="preserve">189, párrafo primero, de la Ley de Transparencia y Acceso a la Información Pública del Estado de México y Municipios; </w:t>
      </w:r>
      <w:r w:rsidRPr="001106EA">
        <w:rPr>
          <w:rFonts w:ascii="Tahoma" w:hAnsi="Tahoma"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1106EA">
        <w:rPr>
          <w:rFonts w:ascii="Tahoma" w:hAnsi="Tahoma" w:cs="Tahoma"/>
          <w:b/>
          <w:sz w:val="24"/>
          <w:szCs w:val="24"/>
        </w:rPr>
        <w:t>V</w:t>
      </w:r>
      <w:r w:rsidRPr="001106EA">
        <w:rPr>
          <w:rFonts w:ascii="Tahoma" w:hAnsi="Tahoma" w:cs="Tahoma"/>
          <w:b/>
          <w:sz w:val="24"/>
          <w:szCs w:val="24"/>
        </w:rPr>
        <w:t xml:space="preserve">oto </w:t>
      </w:r>
      <w:r w:rsidR="00584D73"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 xml:space="preserve"> por no compartir en su totalidad las consideraciones que sustentan la </w:t>
      </w:r>
      <w:r w:rsidR="00584D73" w:rsidRPr="001106EA">
        <w:rPr>
          <w:rFonts w:ascii="Tahoma" w:hAnsi="Tahoma" w:cs="Tahoma"/>
          <w:sz w:val="24"/>
          <w:szCs w:val="24"/>
        </w:rPr>
        <w:t>R</w:t>
      </w:r>
      <w:r w:rsidRPr="001106EA">
        <w:rPr>
          <w:rFonts w:ascii="Tahoma" w:hAnsi="Tahoma" w:cs="Tahoma"/>
          <w:sz w:val="24"/>
          <w:szCs w:val="24"/>
        </w:rPr>
        <w:t xml:space="preserve">esolución del </w:t>
      </w:r>
      <w:r w:rsidR="00584D73" w:rsidRPr="001106EA">
        <w:rPr>
          <w:rFonts w:ascii="Tahoma" w:hAnsi="Tahoma" w:cs="Tahoma"/>
          <w:sz w:val="24"/>
          <w:szCs w:val="24"/>
        </w:rPr>
        <w:t>R</w:t>
      </w:r>
      <w:r w:rsidRPr="001106EA">
        <w:rPr>
          <w:rFonts w:ascii="Tahoma" w:hAnsi="Tahoma" w:cs="Tahoma"/>
          <w:sz w:val="24"/>
          <w:szCs w:val="24"/>
        </w:rPr>
        <w:t xml:space="preserve">ecurso de </w:t>
      </w:r>
      <w:r w:rsidR="00584D73" w:rsidRPr="001106EA">
        <w:rPr>
          <w:rFonts w:ascii="Tahoma" w:hAnsi="Tahoma" w:cs="Tahoma"/>
          <w:sz w:val="24"/>
          <w:szCs w:val="24"/>
        </w:rPr>
        <w:t>R</w:t>
      </w:r>
      <w:r w:rsidRPr="001106EA">
        <w:rPr>
          <w:rFonts w:ascii="Tahoma" w:hAnsi="Tahoma" w:cs="Tahoma"/>
          <w:sz w:val="24"/>
          <w:szCs w:val="24"/>
        </w:rPr>
        <w:t xml:space="preserve">evisión </w:t>
      </w:r>
      <w:r w:rsidR="000F4A5F">
        <w:rPr>
          <w:rFonts w:ascii="Tahoma" w:hAnsi="Tahoma" w:cs="Tahoma"/>
          <w:sz w:val="24"/>
          <w:szCs w:val="24"/>
        </w:rPr>
        <w:t>02993</w:t>
      </w:r>
      <w:r w:rsidR="002C2405" w:rsidRPr="001106EA">
        <w:rPr>
          <w:rFonts w:ascii="Tahoma" w:hAnsi="Tahoma" w:cs="Tahoma"/>
          <w:sz w:val="24"/>
          <w:szCs w:val="24"/>
        </w:rPr>
        <w:t>/INFOEM/IP/RR/2018</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EC3F95" w:rsidRPr="00EC3F95" w:rsidRDefault="00EC3F95" w:rsidP="00EC3F95">
      <w:pPr>
        <w:spacing w:after="0" w:line="276" w:lineRule="auto"/>
        <w:jc w:val="both"/>
        <w:rPr>
          <w:rFonts w:ascii="Tahoma" w:hAnsi="Tahoma" w:cs="Tahoma"/>
          <w:sz w:val="24"/>
          <w:szCs w:val="24"/>
          <w:lang w:val="es-MX"/>
        </w:rPr>
      </w:pPr>
      <w:r w:rsidRPr="00EC3F95">
        <w:rPr>
          <w:rFonts w:ascii="Tahoma" w:hAnsi="Tahoma" w:cs="Tahoma"/>
          <w:sz w:val="24"/>
          <w:szCs w:val="24"/>
          <w:lang w:val="es-MX"/>
        </w:rPr>
        <w:t xml:space="preserve">En el caso particular, como se desprende de los antecedentes de la presente resolución, el particular requirió la versión pública de los recibos de nómina del Ayuntamiento de Zumpango, emitidos durante todo el año </w:t>
      </w:r>
      <w:r w:rsidR="000E30B9">
        <w:rPr>
          <w:rFonts w:ascii="Tahoma" w:hAnsi="Tahoma" w:cs="Tahoma"/>
          <w:sz w:val="24"/>
          <w:szCs w:val="24"/>
          <w:lang w:val="es-MX"/>
        </w:rPr>
        <w:t>dos mil dieciséis</w:t>
      </w:r>
      <w:r w:rsidRPr="00EC3F95">
        <w:rPr>
          <w:rFonts w:ascii="Tahoma" w:hAnsi="Tahoma" w:cs="Tahoma"/>
          <w:sz w:val="24"/>
          <w:szCs w:val="24"/>
          <w:lang w:val="es-MX"/>
        </w:rPr>
        <w:t xml:space="preserve">. En respuesta, el </w:t>
      </w:r>
      <w:r w:rsidR="000E30B9">
        <w:rPr>
          <w:rFonts w:ascii="Tahoma" w:hAnsi="Tahoma" w:cs="Tahoma"/>
          <w:sz w:val="24"/>
          <w:szCs w:val="24"/>
          <w:lang w:val="es-MX"/>
        </w:rPr>
        <w:t>Sujeto Obligado</w:t>
      </w:r>
      <w:r w:rsidRPr="00EC3F95">
        <w:rPr>
          <w:rFonts w:ascii="Tahoma" w:hAnsi="Tahoma" w:cs="Tahoma"/>
          <w:sz w:val="24"/>
          <w:szCs w:val="24"/>
          <w:lang w:val="es-MX"/>
        </w:rPr>
        <w:t xml:space="preserve"> proporcionó al particular diversos archivos electrónicos con la versión pública de los recibos de nómina emitidos en el año </w:t>
      </w:r>
      <w:r w:rsidR="000E30B9">
        <w:rPr>
          <w:rFonts w:ascii="Tahoma" w:hAnsi="Tahoma" w:cs="Tahoma"/>
          <w:sz w:val="24"/>
          <w:szCs w:val="24"/>
          <w:lang w:val="es-MX"/>
        </w:rPr>
        <w:t>requerido</w:t>
      </w:r>
      <w:r w:rsidRPr="00EC3F95">
        <w:rPr>
          <w:rFonts w:ascii="Tahoma" w:hAnsi="Tahoma" w:cs="Tahoma"/>
          <w:sz w:val="24"/>
          <w:szCs w:val="24"/>
          <w:lang w:val="es-MX"/>
        </w:rPr>
        <w:t>.</w:t>
      </w:r>
    </w:p>
    <w:p w:rsidR="00EC3F95" w:rsidRPr="00EC3F95" w:rsidRDefault="00EC3F95" w:rsidP="00EC3F95">
      <w:pPr>
        <w:spacing w:after="0" w:line="276" w:lineRule="auto"/>
        <w:jc w:val="both"/>
        <w:rPr>
          <w:rFonts w:ascii="Tahoma" w:hAnsi="Tahoma" w:cs="Tahoma"/>
          <w:sz w:val="24"/>
          <w:szCs w:val="24"/>
          <w:lang w:val="es-MX"/>
        </w:rPr>
      </w:pPr>
    </w:p>
    <w:p w:rsidR="00625B4D" w:rsidRDefault="00EC3F95" w:rsidP="00625B4D">
      <w:pPr>
        <w:spacing w:after="0" w:line="276" w:lineRule="auto"/>
        <w:jc w:val="both"/>
        <w:rPr>
          <w:rFonts w:ascii="Tahoma" w:hAnsi="Tahoma" w:cs="Tahoma"/>
          <w:sz w:val="24"/>
          <w:szCs w:val="24"/>
          <w:lang w:val="es-MX"/>
        </w:rPr>
      </w:pPr>
      <w:r w:rsidRPr="00EC3F95">
        <w:rPr>
          <w:rFonts w:ascii="Tahoma" w:hAnsi="Tahoma" w:cs="Tahoma"/>
          <w:sz w:val="24"/>
          <w:szCs w:val="24"/>
          <w:lang w:val="es-MX"/>
        </w:rPr>
        <w:t>Inconforme con lo anterior,</w:t>
      </w:r>
      <w:r w:rsidR="000E30B9">
        <w:rPr>
          <w:rFonts w:ascii="Tahoma" w:hAnsi="Tahoma" w:cs="Tahoma"/>
          <w:sz w:val="24"/>
          <w:szCs w:val="24"/>
          <w:lang w:val="es-MX"/>
        </w:rPr>
        <w:t xml:space="preserve"> el ahora recurrente presentó</w:t>
      </w:r>
      <w:r w:rsidRPr="00EC3F95">
        <w:rPr>
          <w:rFonts w:ascii="Tahoma" w:hAnsi="Tahoma" w:cs="Tahoma"/>
          <w:sz w:val="24"/>
          <w:szCs w:val="24"/>
          <w:lang w:val="es-MX"/>
        </w:rPr>
        <w:t xml:space="preserve"> </w:t>
      </w:r>
      <w:r w:rsidR="000E30B9">
        <w:rPr>
          <w:rFonts w:ascii="Tahoma" w:hAnsi="Tahoma" w:cs="Tahoma"/>
          <w:sz w:val="24"/>
          <w:szCs w:val="24"/>
          <w:lang w:val="es-MX"/>
        </w:rPr>
        <w:t>R</w:t>
      </w:r>
      <w:r w:rsidRPr="00EC3F95">
        <w:rPr>
          <w:rFonts w:ascii="Tahoma" w:hAnsi="Tahoma" w:cs="Tahoma"/>
          <w:sz w:val="24"/>
          <w:szCs w:val="24"/>
          <w:lang w:val="es-MX"/>
        </w:rPr>
        <w:t xml:space="preserve">ecurso de </w:t>
      </w:r>
      <w:r w:rsidR="000E30B9">
        <w:rPr>
          <w:rFonts w:ascii="Tahoma" w:hAnsi="Tahoma" w:cs="Tahoma"/>
          <w:sz w:val="24"/>
          <w:szCs w:val="24"/>
          <w:lang w:val="es-MX"/>
        </w:rPr>
        <w:t>R</w:t>
      </w:r>
      <w:r w:rsidRPr="00EC3F95">
        <w:rPr>
          <w:rFonts w:ascii="Tahoma" w:hAnsi="Tahoma" w:cs="Tahoma"/>
          <w:sz w:val="24"/>
          <w:szCs w:val="24"/>
          <w:lang w:val="es-MX"/>
        </w:rPr>
        <w:t xml:space="preserve">evisión ante este Instituto, </w:t>
      </w:r>
      <w:r w:rsidR="000E30B9">
        <w:rPr>
          <w:rFonts w:ascii="Tahoma" w:hAnsi="Tahoma" w:cs="Tahoma"/>
          <w:sz w:val="24"/>
          <w:szCs w:val="24"/>
          <w:lang w:val="es-MX"/>
        </w:rPr>
        <w:t xml:space="preserve">en el que </w:t>
      </w:r>
      <w:r w:rsidRPr="00EC3F95">
        <w:rPr>
          <w:rFonts w:ascii="Tahoma" w:hAnsi="Tahoma" w:cs="Tahoma"/>
          <w:sz w:val="24"/>
          <w:szCs w:val="24"/>
          <w:lang w:val="es-MX"/>
        </w:rPr>
        <w:t>manifest</w:t>
      </w:r>
      <w:r w:rsidR="000E30B9">
        <w:rPr>
          <w:rFonts w:ascii="Tahoma" w:hAnsi="Tahoma" w:cs="Tahoma"/>
          <w:sz w:val="24"/>
          <w:szCs w:val="24"/>
          <w:lang w:val="es-MX"/>
        </w:rPr>
        <w:t>ó</w:t>
      </w:r>
      <w:r w:rsidRPr="00EC3F95">
        <w:rPr>
          <w:rFonts w:ascii="Tahoma" w:hAnsi="Tahoma" w:cs="Tahoma"/>
          <w:sz w:val="24"/>
          <w:szCs w:val="24"/>
          <w:lang w:val="es-MX"/>
        </w:rPr>
        <w:t xml:space="preserve"> dos agravios, el primero: lo que a su consideración era, la mala elaboración de la versión pública, ya que se suprimieron da</w:t>
      </w:r>
      <w:r w:rsidR="000E30B9">
        <w:rPr>
          <w:rFonts w:ascii="Tahoma" w:hAnsi="Tahoma" w:cs="Tahoma"/>
          <w:sz w:val="24"/>
          <w:szCs w:val="24"/>
          <w:lang w:val="es-MX"/>
        </w:rPr>
        <w:t>tos del emisor que son públicos</w:t>
      </w:r>
      <w:r w:rsidRPr="00EC3F95">
        <w:rPr>
          <w:rFonts w:ascii="Tahoma" w:hAnsi="Tahoma" w:cs="Tahoma"/>
          <w:sz w:val="24"/>
          <w:szCs w:val="24"/>
          <w:lang w:val="es-MX"/>
        </w:rPr>
        <w:t xml:space="preserve"> y el segundo: por la falta de entrega del acta del Comité de Transparencia en datos abiertos.</w:t>
      </w:r>
      <w:r w:rsidR="00625B4D">
        <w:rPr>
          <w:rFonts w:ascii="Tahoma" w:hAnsi="Tahoma" w:cs="Tahoma"/>
          <w:sz w:val="24"/>
          <w:szCs w:val="24"/>
          <w:lang w:val="es-MX"/>
        </w:rPr>
        <w:t xml:space="preserve"> Tal como se advierte del recurso de revisión que se muestra a continuación, para su pronta referencia:</w:t>
      </w:r>
    </w:p>
    <w:p w:rsidR="00625B4D" w:rsidRDefault="00625B4D" w:rsidP="00625B4D">
      <w:pPr>
        <w:spacing w:after="0" w:line="276" w:lineRule="auto"/>
        <w:jc w:val="both"/>
        <w:rPr>
          <w:rFonts w:ascii="Tahoma" w:hAnsi="Tahoma" w:cs="Tahoma"/>
          <w:sz w:val="24"/>
          <w:szCs w:val="24"/>
          <w:lang w:val="es-MX"/>
        </w:rPr>
      </w:pPr>
    </w:p>
    <w:p w:rsidR="00625B4D" w:rsidRPr="00EC3F95" w:rsidRDefault="000E30B9" w:rsidP="00625B4D">
      <w:pPr>
        <w:spacing w:after="0" w:line="276" w:lineRule="auto"/>
        <w:ind w:left="567" w:right="567"/>
        <w:jc w:val="both"/>
        <w:rPr>
          <w:rFonts w:ascii="Tahoma" w:hAnsi="Tahoma" w:cs="Tahoma"/>
          <w:sz w:val="24"/>
          <w:szCs w:val="24"/>
          <w:lang w:val="es-MX"/>
        </w:rPr>
      </w:pPr>
      <w:r>
        <w:rPr>
          <w:rFonts w:ascii="Tahoma" w:hAnsi="Tahoma" w:cs="Tahoma"/>
          <w:sz w:val="24"/>
          <w:szCs w:val="24"/>
          <w:lang w:val="es-ES_tradnl"/>
        </w:rPr>
        <w:t>“ (</w:t>
      </w:r>
      <w:r w:rsidR="00625B4D" w:rsidRPr="00625B4D">
        <w:rPr>
          <w:rFonts w:ascii="Tahoma" w:hAnsi="Tahoma" w:cs="Tahoma"/>
          <w:sz w:val="24"/>
          <w:szCs w:val="24"/>
          <w:lang w:val="es-ES_tradnl"/>
        </w:rPr>
        <w:t>…</w:t>
      </w:r>
      <w:r>
        <w:rPr>
          <w:rFonts w:ascii="Tahoma" w:hAnsi="Tahoma" w:cs="Tahoma"/>
          <w:sz w:val="24"/>
          <w:szCs w:val="24"/>
          <w:lang w:val="es-ES_tradnl"/>
        </w:rPr>
        <w:t xml:space="preserve">) </w:t>
      </w:r>
      <w:r w:rsidR="00625B4D" w:rsidRPr="00625B4D">
        <w:rPr>
          <w:rFonts w:ascii="Tahoma" w:hAnsi="Tahoma" w:cs="Tahoma"/>
          <w:sz w:val="24"/>
          <w:szCs w:val="24"/>
          <w:lang w:val="es-ES_tradnl"/>
        </w:rPr>
        <w:t>FALTA EL ACTA Y ACUERDO DE LA VERSIÓN PÚBLICA EN DATOS ABIERTOS ADEMAS QUE LA VERSIÓN PÚBLICA NO ES LA CORRECTA DEBIDO A QUE EN LOS RECIBOS SE SUPRIMEN DATOS DEL EMISOR DE LOS RECIBOS DE NOMINA O DE EL MUNICIPIO DE ZUMPANGO</w:t>
      </w:r>
      <w:r>
        <w:rPr>
          <w:rFonts w:ascii="Tahoma" w:hAnsi="Tahoma" w:cs="Tahoma"/>
          <w:sz w:val="24"/>
          <w:szCs w:val="24"/>
          <w:lang w:val="es-ES_tradnl"/>
        </w:rPr>
        <w:t>.</w:t>
      </w:r>
      <w:r w:rsidR="00625B4D">
        <w:rPr>
          <w:rFonts w:ascii="Tahoma" w:hAnsi="Tahoma" w:cs="Tahoma"/>
          <w:i/>
          <w:sz w:val="24"/>
          <w:szCs w:val="24"/>
          <w:lang w:val="es-ES_tradnl"/>
        </w:rPr>
        <w:t xml:space="preserve"> (</w:t>
      </w:r>
      <w:r>
        <w:rPr>
          <w:rFonts w:ascii="Tahoma" w:hAnsi="Tahoma" w:cs="Tahoma"/>
          <w:i/>
          <w:sz w:val="24"/>
          <w:szCs w:val="24"/>
          <w:lang w:val="es-ES_tradnl"/>
        </w:rPr>
        <w:t>S</w:t>
      </w:r>
      <w:r w:rsidR="00625B4D">
        <w:rPr>
          <w:rFonts w:ascii="Tahoma" w:hAnsi="Tahoma" w:cs="Tahoma"/>
          <w:i/>
          <w:sz w:val="24"/>
          <w:szCs w:val="24"/>
          <w:lang w:val="es-ES_tradnl"/>
        </w:rPr>
        <w:t>ic</w:t>
      </w:r>
      <w:r>
        <w:rPr>
          <w:rFonts w:ascii="Tahoma" w:hAnsi="Tahoma" w:cs="Tahoma"/>
          <w:i/>
          <w:sz w:val="24"/>
          <w:szCs w:val="24"/>
          <w:lang w:val="es-ES_tradnl"/>
        </w:rPr>
        <w:t>.</w:t>
      </w:r>
      <w:r w:rsidR="00625B4D">
        <w:rPr>
          <w:rFonts w:ascii="Tahoma" w:hAnsi="Tahoma" w:cs="Tahoma"/>
          <w:i/>
          <w:sz w:val="24"/>
          <w:szCs w:val="24"/>
          <w:lang w:val="es-ES_tradnl"/>
        </w:rPr>
        <w:t>)</w:t>
      </w:r>
    </w:p>
    <w:p w:rsidR="00EC3F95" w:rsidRPr="00EC3F95" w:rsidRDefault="00EC3F95" w:rsidP="00EC3F95">
      <w:pPr>
        <w:spacing w:after="0" w:line="276" w:lineRule="auto"/>
        <w:jc w:val="both"/>
        <w:rPr>
          <w:rFonts w:ascii="Tahoma" w:hAnsi="Tahoma" w:cs="Tahoma"/>
          <w:sz w:val="24"/>
          <w:szCs w:val="24"/>
          <w:lang w:val="es-MX"/>
        </w:rPr>
      </w:pPr>
    </w:p>
    <w:p w:rsidR="00EC3F95" w:rsidRPr="00EC3F95" w:rsidRDefault="00D66DE7" w:rsidP="00D66DE7">
      <w:pPr>
        <w:spacing w:after="0" w:line="276" w:lineRule="auto"/>
        <w:jc w:val="both"/>
        <w:rPr>
          <w:rFonts w:ascii="Tahoma" w:hAnsi="Tahoma" w:cs="Tahoma"/>
          <w:sz w:val="24"/>
          <w:szCs w:val="24"/>
          <w:lang w:val="es-MX"/>
        </w:rPr>
      </w:pPr>
      <w:r>
        <w:rPr>
          <w:rFonts w:ascii="Tahoma" w:hAnsi="Tahoma" w:cs="Tahoma"/>
          <w:sz w:val="24"/>
          <w:szCs w:val="24"/>
          <w:lang w:val="es-MX"/>
        </w:rPr>
        <w:lastRenderedPageBreak/>
        <w:t xml:space="preserve">De la revisión que llevó a cabo el Comisionado Ponente a la respuesta del Sujeto Obligado, advirtió que no se entregaron todos los recibos de nómina solicitados, por lo que, como parte de la </w:t>
      </w:r>
      <w:r w:rsidRPr="00D66DE7">
        <w:rPr>
          <w:rFonts w:ascii="Tahoma" w:hAnsi="Tahoma" w:cs="Tahoma"/>
          <w:i/>
          <w:sz w:val="24"/>
          <w:szCs w:val="24"/>
          <w:lang w:val="es-MX"/>
        </w:rPr>
        <w:t>litis</w:t>
      </w:r>
      <w:r>
        <w:rPr>
          <w:rFonts w:ascii="Tahoma" w:hAnsi="Tahoma" w:cs="Tahoma"/>
          <w:sz w:val="24"/>
          <w:szCs w:val="24"/>
          <w:lang w:val="es-MX"/>
        </w:rPr>
        <w:t xml:space="preserve">, </w:t>
      </w:r>
      <w:r w:rsidR="00EC3F95" w:rsidRPr="00EC3F95">
        <w:rPr>
          <w:rFonts w:ascii="Tahoma" w:hAnsi="Tahoma" w:cs="Tahoma"/>
          <w:sz w:val="24"/>
          <w:szCs w:val="24"/>
          <w:lang w:val="es-MX"/>
        </w:rPr>
        <w:t xml:space="preserve">añadió a los agravios </w:t>
      </w:r>
      <w:r>
        <w:rPr>
          <w:rFonts w:ascii="Tahoma" w:hAnsi="Tahoma" w:cs="Tahoma"/>
          <w:sz w:val="24"/>
          <w:szCs w:val="24"/>
          <w:lang w:val="es-MX"/>
        </w:rPr>
        <w:t xml:space="preserve">manifestados por el particular, </w:t>
      </w:r>
      <w:r w:rsidR="00EC3F95" w:rsidRPr="00EC3F95">
        <w:rPr>
          <w:rFonts w:ascii="Tahoma" w:hAnsi="Tahoma" w:cs="Tahoma"/>
          <w:sz w:val="24"/>
          <w:szCs w:val="24"/>
          <w:lang w:val="es-MX"/>
        </w:rPr>
        <w:t>el hecho de que no fueron proporcionados los recibos de nómina correspondientes a la primera quincena de diciembre de dos mil dieciséis.</w:t>
      </w:r>
      <w:r w:rsidR="00EC3F95">
        <w:rPr>
          <w:rFonts w:ascii="Tahoma" w:hAnsi="Tahoma" w:cs="Tahoma"/>
          <w:sz w:val="24"/>
          <w:szCs w:val="24"/>
          <w:lang w:val="es-MX"/>
        </w:rPr>
        <w:t xml:space="preserve"> </w:t>
      </w:r>
    </w:p>
    <w:p w:rsidR="00EC3F95" w:rsidRPr="00EC3F95" w:rsidRDefault="00EC3F95" w:rsidP="00EC3F95">
      <w:pPr>
        <w:spacing w:after="0" w:line="276" w:lineRule="auto"/>
        <w:jc w:val="both"/>
        <w:rPr>
          <w:rFonts w:ascii="Tahoma" w:hAnsi="Tahoma" w:cs="Tahoma"/>
          <w:sz w:val="24"/>
          <w:szCs w:val="24"/>
          <w:lang w:val="es-MX"/>
        </w:rPr>
      </w:pPr>
    </w:p>
    <w:p w:rsidR="00EF135E" w:rsidRPr="00625B4D" w:rsidRDefault="00EC3F95" w:rsidP="00032450">
      <w:pPr>
        <w:spacing w:after="0" w:line="276" w:lineRule="auto"/>
        <w:jc w:val="both"/>
        <w:rPr>
          <w:rFonts w:ascii="Tahoma" w:hAnsi="Tahoma" w:cs="Tahoma"/>
          <w:sz w:val="24"/>
          <w:szCs w:val="24"/>
          <w:lang w:val="es-MX"/>
        </w:rPr>
      </w:pPr>
      <w:r w:rsidRPr="00EC3F95">
        <w:rPr>
          <w:rFonts w:ascii="Tahoma" w:hAnsi="Tahoma" w:cs="Tahoma"/>
          <w:sz w:val="24"/>
          <w:szCs w:val="24"/>
          <w:lang w:val="es-MX"/>
        </w:rPr>
        <w:t xml:space="preserve">Ahora bien, desde el punto de vista de un servidor, la información incompleta no fue motivo de agravio por parte del particular, por lo que debió considerarse un </w:t>
      </w:r>
      <w:r w:rsidRPr="00EC3F95">
        <w:rPr>
          <w:rFonts w:ascii="Tahoma" w:hAnsi="Tahoma" w:cs="Tahoma"/>
          <w:b/>
          <w:sz w:val="24"/>
          <w:szCs w:val="24"/>
          <w:lang w:val="es-MX"/>
        </w:rPr>
        <w:t>acto consentido tácitamente</w:t>
      </w:r>
      <w:r w:rsidRPr="00EC3F95">
        <w:rPr>
          <w:rFonts w:ascii="Tahoma" w:hAnsi="Tahoma" w:cs="Tahoma"/>
          <w:sz w:val="24"/>
          <w:szCs w:val="24"/>
          <w:lang w:val="es-MX"/>
        </w:rPr>
        <w:t xml:space="preserve"> y no formar parte del anál</w:t>
      </w:r>
      <w:r w:rsidR="00D61638">
        <w:rPr>
          <w:rFonts w:ascii="Tahoma" w:hAnsi="Tahoma" w:cs="Tahoma"/>
          <w:sz w:val="24"/>
          <w:szCs w:val="24"/>
          <w:lang w:val="es-MX"/>
        </w:rPr>
        <w:t>isis efectuado en la R</w:t>
      </w:r>
      <w:r w:rsidR="00625B4D">
        <w:rPr>
          <w:rFonts w:ascii="Tahoma" w:hAnsi="Tahoma" w:cs="Tahoma"/>
          <w:sz w:val="24"/>
          <w:szCs w:val="24"/>
          <w:lang w:val="es-MX"/>
        </w:rPr>
        <w:t>esolución</w:t>
      </w:r>
      <w:r w:rsidR="00F178D6">
        <w:rPr>
          <w:rFonts w:ascii="Tahoma" w:hAnsi="Tahoma" w:cs="Tahoma"/>
          <w:sz w:val="24"/>
          <w:szCs w:val="24"/>
        </w:rPr>
        <w:t>, pues e</w:t>
      </w:r>
      <w:r w:rsidR="00F178D6" w:rsidRPr="00F178D6">
        <w:rPr>
          <w:rFonts w:ascii="Tahoma" w:hAnsi="Tahoma" w:cs="Tahoma"/>
          <w:sz w:val="24"/>
          <w:szCs w:val="24"/>
        </w:rPr>
        <w:t xml:space="preserve">s un principio procesal elemental que </w:t>
      </w:r>
      <w:r w:rsidR="00F178D6" w:rsidRPr="00F178D6">
        <w:rPr>
          <w:rFonts w:ascii="Tahoma" w:hAnsi="Tahoma" w:cs="Tahoma"/>
          <w:b/>
          <w:sz w:val="24"/>
          <w:szCs w:val="24"/>
        </w:rPr>
        <w:t>cualquier pretensión deducida ante los órganos jurisdiccionales es una manifestación de voluntad</w:t>
      </w:r>
      <w:r w:rsidR="00F178D6" w:rsidRPr="00F178D6">
        <w:rPr>
          <w:rFonts w:ascii="Tahoma" w:hAnsi="Tahoma" w:cs="Tahoma"/>
          <w:sz w:val="24"/>
          <w:szCs w:val="24"/>
        </w:rPr>
        <w:t>, expuesta como razonamiento estratégico, atinente a un fin concreto, que es reconocer y declarar en la sentencia al pretensor como titular de un derecho cuya realización y efectos reclama</w:t>
      </w:r>
      <w:r w:rsidR="00B61CDD">
        <w:rPr>
          <w:rFonts w:ascii="Tahoma" w:hAnsi="Tahoma" w:cs="Tahoma"/>
          <w:sz w:val="24"/>
          <w:szCs w:val="24"/>
        </w:rPr>
        <w:t>.</w:t>
      </w:r>
    </w:p>
    <w:p w:rsidR="00F11F0A" w:rsidRDefault="00F11F0A" w:rsidP="00032450">
      <w:pPr>
        <w:spacing w:after="0" w:line="276" w:lineRule="auto"/>
        <w:jc w:val="both"/>
        <w:rPr>
          <w:rFonts w:ascii="Tahoma" w:hAnsi="Tahoma" w:cs="Tahoma"/>
          <w:sz w:val="24"/>
          <w:szCs w:val="24"/>
        </w:rPr>
      </w:pPr>
    </w:p>
    <w:p w:rsidR="00F11F0A" w:rsidRDefault="00F178D6" w:rsidP="00C130ED">
      <w:pPr>
        <w:spacing w:after="0" w:line="276" w:lineRule="auto"/>
        <w:jc w:val="both"/>
        <w:rPr>
          <w:rFonts w:ascii="Tahoma" w:hAnsi="Tahoma" w:cs="Tahoma"/>
          <w:sz w:val="24"/>
          <w:szCs w:val="24"/>
        </w:rPr>
      </w:pPr>
      <w:r w:rsidRPr="00590C71">
        <w:rPr>
          <w:rFonts w:ascii="Tahoma" w:hAnsi="Tahoma" w:cs="Tahoma"/>
          <w:sz w:val="24"/>
          <w:szCs w:val="24"/>
        </w:rPr>
        <w:t>De ahí que, si no existe</w:t>
      </w:r>
      <w:r w:rsidR="00872784" w:rsidRPr="00590C71">
        <w:rPr>
          <w:rFonts w:ascii="Tahoma" w:hAnsi="Tahoma" w:cs="Tahoma"/>
          <w:sz w:val="24"/>
          <w:szCs w:val="24"/>
        </w:rPr>
        <w:t xml:space="preserve"> </w:t>
      </w:r>
      <w:r w:rsidR="00446D89" w:rsidRPr="00590C71">
        <w:rPr>
          <w:rFonts w:ascii="Tahoma" w:hAnsi="Tahoma" w:cs="Tahoma"/>
          <w:sz w:val="24"/>
          <w:szCs w:val="24"/>
        </w:rPr>
        <w:t>razón</w:t>
      </w:r>
      <w:r w:rsidR="00C130ED" w:rsidRPr="00590C71">
        <w:rPr>
          <w:rFonts w:ascii="Tahoma" w:hAnsi="Tahoma" w:cs="Tahoma"/>
          <w:sz w:val="24"/>
          <w:szCs w:val="24"/>
        </w:rPr>
        <w:t xml:space="preserve"> en la</w:t>
      </w:r>
      <w:r w:rsidR="00446D89" w:rsidRPr="00590C71">
        <w:rPr>
          <w:rFonts w:ascii="Tahoma" w:hAnsi="Tahoma" w:cs="Tahoma"/>
          <w:sz w:val="24"/>
          <w:szCs w:val="24"/>
        </w:rPr>
        <w:t xml:space="preserve"> causa </w:t>
      </w:r>
      <w:r w:rsidR="00446D89" w:rsidRPr="00590C71">
        <w:rPr>
          <w:rFonts w:ascii="Tahoma" w:hAnsi="Tahoma" w:cs="Tahoma"/>
          <w:i/>
          <w:sz w:val="24"/>
          <w:szCs w:val="24"/>
        </w:rPr>
        <w:t>petendi</w:t>
      </w:r>
      <w:r w:rsidR="00C130ED" w:rsidRPr="00590C71">
        <w:rPr>
          <w:rFonts w:ascii="Tahoma" w:hAnsi="Tahoma" w:cs="Tahoma"/>
          <w:i/>
          <w:sz w:val="24"/>
          <w:szCs w:val="24"/>
        </w:rPr>
        <w:t xml:space="preserve"> </w:t>
      </w:r>
      <w:r w:rsidR="00C130ED" w:rsidRPr="00590C71">
        <w:rPr>
          <w:rFonts w:ascii="Tahoma" w:hAnsi="Tahoma" w:cs="Tahoma"/>
          <w:sz w:val="24"/>
          <w:szCs w:val="24"/>
        </w:rPr>
        <w:t>(que el inconforme precise el agravio o lesión que le cause el acto reclamado)</w:t>
      </w:r>
      <w:r w:rsidR="00446D89" w:rsidRPr="00590C71">
        <w:rPr>
          <w:rFonts w:ascii="Tahoma" w:hAnsi="Tahoma" w:cs="Tahoma"/>
          <w:sz w:val="24"/>
          <w:szCs w:val="24"/>
        </w:rPr>
        <w:t xml:space="preserve">, en relación con la respuesta otorgada por el </w:t>
      </w:r>
      <w:r w:rsidR="004F1B7F" w:rsidRPr="00590C71">
        <w:rPr>
          <w:rFonts w:ascii="Tahoma" w:hAnsi="Tahoma" w:cs="Tahoma"/>
          <w:sz w:val="24"/>
          <w:szCs w:val="24"/>
        </w:rPr>
        <w:t>Sujeto Obligado</w:t>
      </w:r>
      <w:r w:rsidR="00446D89" w:rsidRPr="00590C71">
        <w:rPr>
          <w:rFonts w:ascii="Tahoma" w:hAnsi="Tahoma" w:cs="Tahoma"/>
          <w:sz w:val="24"/>
          <w:szCs w:val="24"/>
        </w:rPr>
        <w:t xml:space="preserve">, </w:t>
      </w:r>
      <w:r w:rsidR="00590C71" w:rsidRPr="00590C71">
        <w:rPr>
          <w:rFonts w:ascii="Tahoma" w:hAnsi="Tahoma" w:cs="Tahoma"/>
          <w:sz w:val="24"/>
          <w:szCs w:val="24"/>
        </w:rPr>
        <w:t xml:space="preserve">de forma tal </w:t>
      </w:r>
      <w:r w:rsidRPr="00590C71">
        <w:rPr>
          <w:rFonts w:ascii="Tahoma" w:hAnsi="Tahoma" w:cs="Tahoma"/>
          <w:sz w:val="24"/>
          <w:szCs w:val="24"/>
        </w:rPr>
        <w:t>que permita</w:t>
      </w:r>
      <w:r w:rsidR="00446D89" w:rsidRPr="00590C71">
        <w:rPr>
          <w:rFonts w:ascii="Tahoma" w:hAnsi="Tahoma" w:cs="Tahoma"/>
          <w:sz w:val="24"/>
          <w:szCs w:val="24"/>
        </w:rPr>
        <w:t>n</w:t>
      </w:r>
      <w:r w:rsidRPr="00590C71">
        <w:rPr>
          <w:rFonts w:ascii="Tahoma" w:hAnsi="Tahoma" w:cs="Tahoma"/>
          <w:sz w:val="24"/>
          <w:szCs w:val="24"/>
        </w:rPr>
        <w:t xml:space="preserve"> a este Instituto </w:t>
      </w:r>
      <w:r w:rsidR="00446D89" w:rsidRPr="00590C71">
        <w:rPr>
          <w:rFonts w:ascii="Tahoma" w:hAnsi="Tahoma" w:cs="Tahoma"/>
          <w:sz w:val="24"/>
          <w:szCs w:val="24"/>
        </w:rPr>
        <w:t>determinar mediante resolución fundada y motivada una consecuencia jurídica</w:t>
      </w:r>
      <w:r w:rsidR="00A45560" w:rsidRPr="00590C71">
        <w:rPr>
          <w:rFonts w:ascii="Tahoma" w:hAnsi="Tahoma" w:cs="Tahoma"/>
          <w:sz w:val="24"/>
          <w:szCs w:val="24"/>
        </w:rPr>
        <w:t xml:space="preserve"> sobre los actos recaídos a dichos puntos</w:t>
      </w:r>
      <w:r w:rsidR="00446D89" w:rsidRPr="00590C71">
        <w:rPr>
          <w:rFonts w:ascii="Tahoma" w:hAnsi="Tahoma" w:cs="Tahoma"/>
          <w:sz w:val="24"/>
          <w:szCs w:val="24"/>
        </w:rPr>
        <w:t xml:space="preserve">, la respuesta que se otorgó a </w:t>
      </w:r>
      <w:r w:rsidR="00A45560" w:rsidRPr="00590C71">
        <w:rPr>
          <w:rFonts w:ascii="Tahoma" w:hAnsi="Tahoma" w:cs="Tahoma"/>
          <w:sz w:val="24"/>
          <w:szCs w:val="24"/>
        </w:rPr>
        <w:t xml:space="preserve">los mismos </w:t>
      </w:r>
      <w:r w:rsidR="00446D89" w:rsidRPr="00590C71">
        <w:rPr>
          <w:rFonts w:ascii="Tahoma" w:hAnsi="Tahoma" w:cs="Tahoma"/>
          <w:sz w:val="24"/>
          <w:szCs w:val="24"/>
        </w:rPr>
        <w:t>no debe ser analizada.</w:t>
      </w:r>
    </w:p>
    <w:p w:rsidR="00EF135E" w:rsidRDefault="00EF135E" w:rsidP="00032450">
      <w:pPr>
        <w:spacing w:after="0" w:line="276" w:lineRule="auto"/>
        <w:jc w:val="both"/>
        <w:rPr>
          <w:rFonts w:ascii="Tahoma" w:hAnsi="Tahoma" w:cs="Tahoma"/>
          <w:sz w:val="24"/>
          <w:szCs w:val="24"/>
        </w:rPr>
      </w:pPr>
    </w:p>
    <w:p w:rsidR="00500174" w:rsidRDefault="00140A57" w:rsidP="001D6868">
      <w:pPr>
        <w:spacing w:after="0" w:line="276" w:lineRule="auto"/>
        <w:jc w:val="both"/>
        <w:rPr>
          <w:rFonts w:ascii="Tahoma" w:hAnsi="Tahoma" w:cs="Tahoma"/>
          <w:bCs/>
          <w:iCs/>
          <w:sz w:val="24"/>
          <w:szCs w:val="24"/>
        </w:rPr>
      </w:pPr>
      <w:r w:rsidRPr="001106EA">
        <w:rPr>
          <w:rFonts w:ascii="Tahoma" w:hAnsi="Tahoma" w:cs="Tahoma"/>
          <w:sz w:val="24"/>
          <w:szCs w:val="24"/>
        </w:rPr>
        <w:t xml:space="preserve">En ese sentido, </w:t>
      </w:r>
      <w:r w:rsidR="00446D89">
        <w:rPr>
          <w:rFonts w:ascii="Tahoma" w:hAnsi="Tahoma" w:cs="Tahoma"/>
          <w:sz w:val="24"/>
          <w:szCs w:val="24"/>
        </w:rPr>
        <w:t xml:space="preserve">la respuesta </w:t>
      </w:r>
      <w:r w:rsidR="004F1B7F">
        <w:rPr>
          <w:rFonts w:ascii="Tahoma" w:hAnsi="Tahoma" w:cs="Tahoma"/>
          <w:sz w:val="24"/>
          <w:szCs w:val="24"/>
        </w:rPr>
        <w:t xml:space="preserve">o falta de respuesta a alguna parte de la solicitud </w:t>
      </w:r>
      <w:r w:rsidR="00446D89">
        <w:rPr>
          <w:rFonts w:ascii="Tahoma" w:hAnsi="Tahoma" w:cs="Tahoma"/>
          <w:sz w:val="24"/>
          <w:szCs w:val="24"/>
        </w:rPr>
        <w:t xml:space="preserve">debe considerarse un acto consentido tácitamente en razón de que, </w:t>
      </w:r>
      <w:r w:rsidR="001D6868" w:rsidRPr="001106EA">
        <w:rPr>
          <w:rFonts w:ascii="Tahoma" w:hAnsi="Tahoma" w:cs="Tahoma"/>
          <w:bCs/>
          <w:iCs/>
          <w:sz w:val="24"/>
          <w:szCs w:val="24"/>
        </w:rPr>
        <w:t xml:space="preserve">cuando no se reclaman los actos de autoridad en la vía y plazos establecidos en la Ley, </w:t>
      </w:r>
      <w:r w:rsidR="001D6868" w:rsidRPr="001106EA">
        <w:rPr>
          <w:rFonts w:ascii="Tahoma" w:hAnsi="Tahoma" w:cs="Tahoma"/>
          <w:b/>
          <w:bCs/>
          <w:iCs/>
          <w:sz w:val="24"/>
          <w:szCs w:val="24"/>
        </w:rPr>
        <w:t>se presume que el particul</w:t>
      </w:r>
      <w:r w:rsidR="001D6868">
        <w:rPr>
          <w:rFonts w:ascii="Tahoma" w:hAnsi="Tahoma" w:cs="Tahoma"/>
          <w:b/>
          <w:bCs/>
          <w:iCs/>
          <w:sz w:val="24"/>
          <w:szCs w:val="24"/>
        </w:rPr>
        <w:t xml:space="preserve">ar está conforme con los mismos, </w:t>
      </w:r>
      <w:r w:rsidR="001D6868">
        <w:rPr>
          <w:rFonts w:ascii="Tahoma" w:hAnsi="Tahoma" w:cs="Tahoma"/>
          <w:bCs/>
          <w:iCs/>
          <w:sz w:val="24"/>
          <w:szCs w:val="24"/>
        </w:rPr>
        <w:t xml:space="preserve">de </w:t>
      </w:r>
      <w:r w:rsidR="004F1B7F">
        <w:rPr>
          <w:rFonts w:ascii="Tahoma" w:hAnsi="Tahoma" w:cs="Tahoma"/>
          <w:bCs/>
          <w:iCs/>
          <w:sz w:val="24"/>
          <w:szCs w:val="24"/>
        </w:rPr>
        <w:t>acuerdo a lo plasmado en</w:t>
      </w:r>
      <w:r w:rsidR="001D6868" w:rsidRPr="001D6868">
        <w:rPr>
          <w:rFonts w:ascii="Tahoma" w:hAnsi="Tahoma" w:cs="Tahoma"/>
          <w:bCs/>
          <w:iCs/>
          <w:sz w:val="24"/>
          <w:szCs w:val="24"/>
        </w:rPr>
        <w:t xml:space="preserve"> la </w:t>
      </w:r>
      <w:r w:rsidR="001D6868" w:rsidRPr="001106EA">
        <w:rPr>
          <w:rFonts w:ascii="Tahoma" w:hAnsi="Tahoma" w:cs="Tahoma"/>
          <w:sz w:val="24"/>
          <w:szCs w:val="24"/>
        </w:rPr>
        <w:t xml:space="preserve">Jurisprudencia </w:t>
      </w:r>
      <w:r w:rsidR="00500174">
        <w:rPr>
          <w:rFonts w:ascii="Tahoma" w:hAnsi="Tahoma" w:cs="Tahoma"/>
          <w:sz w:val="24"/>
          <w:szCs w:val="24"/>
        </w:rPr>
        <w:t xml:space="preserve">“ACTOS CONSENTIDOS </w:t>
      </w:r>
      <w:r w:rsidR="00500174" w:rsidRPr="001372F3">
        <w:rPr>
          <w:rFonts w:ascii="Tahoma" w:hAnsi="Tahoma" w:cs="Tahoma"/>
          <w:sz w:val="24"/>
          <w:szCs w:val="24"/>
        </w:rPr>
        <w:t>TACITAMENTE”</w:t>
      </w:r>
      <w:r w:rsidR="001D6868" w:rsidRPr="001372F3">
        <w:rPr>
          <w:rFonts w:ascii="Tahoma" w:hAnsi="Tahoma" w:cs="Tahoma"/>
          <w:sz w:val="24"/>
          <w:szCs w:val="24"/>
        </w:rPr>
        <w:t xml:space="preserve"> </w:t>
      </w:r>
      <w:r w:rsidR="00500174" w:rsidRPr="001372F3">
        <w:rPr>
          <w:rFonts w:ascii="Tahoma" w:hAnsi="Tahoma" w:cs="Tahoma"/>
          <w:sz w:val="24"/>
          <w:szCs w:val="24"/>
        </w:rPr>
        <w:t>(</w:t>
      </w:r>
      <w:r w:rsidR="00500174" w:rsidRPr="001372F3">
        <w:rPr>
          <w:rFonts w:ascii="Tahoma" w:hAnsi="Tahoma" w:cs="Tahoma"/>
          <w:bCs/>
          <w:iCs/>
          <w:sz w:val="24"/>
          <w:szCs w:val="24"/>
        </w:rPr>
        <w:t>Semanario Judicial de la Federación y su Gaceta, Quinta Época,</w:t>
      </w:r>
      <w:r w:rsidR="00500174" w:rsidRPr="001372F3">
        <w:rPr>
          <w:rFonts w:ascii="Tahoma" w:hAnsi="Tahoma" w:cs="Tahoma"/>
          <w:sz w:val="24"/>
          <w:szCs w:val="24"/>
        </w:rPr>
        <w:t xml:space="preserve"> Tomo VI,</w:t>
      </w:r>
      <w:r w:rsidR="00500174" w:rsidRPr="001372F3">
        <w:rPr>
          <w:rFonts w:ascii="Tahoma" w:hAnsi="Tahoma" w:cs="Tahoma"/>
          <w:bCs/>
          <w:iCs/>
          <w:sz w:val="24"/>
          <w:szCs w:val="24"/>
        </w:rPr>
        <w:t xml:space="preserve"> 1995, pág. </w:t>
      </w:r>
      <w:r w:rsidR="001372F3" w:rsidRPr="001372F3">
        <w:rPr>
          <w:rFonts w:ascii="Tahoma" w:hAnsi="Tahoma" w:cs="Tahoma"/>
          <w:bCs/>
          <w:iCs/>
          <w:sz w:val="24"/>
          <w:szCs w:val="24"/>
        </w:rPr>
        <w:t>1</w:t>
      </w:r>
      <w:r w:rsidR="00D61638">
        <w:rPr>
          <w:rFonts w:ascii="Tahoma" w:hAnsi="Tahoma" w:cs="Tahoma"/>
          <w:bCs/>
          <w:iCs/>
          <w:sz w:val="24"/>
          <w:szCs w:val="24"/>
        </w:rPr>
        <w:t>1</w:t>
      </w:r>
      <w:r w:rsidR="00500174" w:rsidRPr="001372F3">
        <w:rPr>
          <w:rFonts w:ascii="Tahoma" w:hAnsi="Tahoma" w:cs="Tahoma"/>
          <w:bCs/>
          <w:iCs/>
          <w:sz w:val="24"/>
          <w:szCs w:val="24"/>
        </w:rPr>
        <w:t>)</w:t>
      </w:r>
      <w:r w:rsidR="00625B4D">
        <w:rPr>
          <w:rFonts w:ascii="Tahoma" w:hAnsi="Tahoma" w:cs="Tahoma"/>
          <w:bCs/>
          <w:iCs/>
          <w:sz w:val="24"/>
          <w:szCs w:val="24"/>
        </w:rPr>
        <w:t>.</w:t>
      </w:r>
    </w:p>
    <w:p w:rsidR="00625B4D" w:rsidRDefault="00625B4D" w:rsidP="001D6868">
      <w:pPr>
        <w:spacing w:after="0" w:line="276" w:lineRule="auto"/>
        <w:jc w:val="both"/>
        <w:rPr>
          <w:rFonts w:ascii="Tahoma" w:hAnsi="Tahoma" w:cs="Tahoma"/>
          <w:sz w:val="24"/>
          <w:szCs w:val="24"/>
        </w:rPr>
      </w:pPr>
    </w:p>
    <w:p w:rsidR="002A2EE7" w:rsidRPr="001106EA" w:rsidRDefault="00742A15" w:rsidP="00032450">
      <w:pPr>
        <w:spacing w:after="0" w:line="276" w:lineRule="auto"/>
        <w:jc w:val="both"/>
        <w:rPr>
          <w:rFonts w:ascii="Tahoma" w:hAnsi="Tahoma" w:cs="Tahoma"/>
          <w:sz w:val="24"/>
          <w:szCs w:val="24"/>
        </w:rPr>
      </w:pPr>
      <w:r w:rsidRPr="001106EA">
        <w:rPr>
          <w:rFonts w:ascii="Tahoma" w:hAnsi="Tahoma" w:cs="Tahoma"/>
          <w:bCs/>
          <w:iCs/>
          <w:sz w:val="24"/>
          <w:szCs w:val="24"/>
        </w:rPr>
        <w:t>En ese orden de ideas, la T</w:t>
      </w:r>
      <w:r w:rsidR="005E2798" w:rsidRPr="001106EA">
        <w:rPr>
          <w:rFonts w:ascii="Tahoma" w:hAnsi="Tahoma" w:cs="Tahoma"/>
          <w:bCs/>
          <w:iCs/>
          <w:sz w:val="24"/>
          <w:szCs w:val="24"/>
        </w:rPr>
        <w:t xml:space="preserve">esis </w:t>
      </w:r>
      <w:r w:rsidRPr="001106EA">
        <w:rPr>
          <w:rFonts w:ascii="Tahoma" w:hAnsi="Tahoma" w:cs="Tahoma"/>
          <w:bCs/>
          <w:iCs/>
          <w:sz w:val="24"/>
          <w:szCs w:val="24"/>
        </w:rPr>
        <w:t>A</w:t>
      </w:r>
      <w:r w:rsidR="005E2798" w:rsidRPr="001106EA">
        <w:rPr>
          <w:rFonts w:ascii="Tahoma" w:hAnsi="Tahoma" w:cs="Tahoma"/>
          <w:bCs/>
          <w:iCs/>
          <w:sz w:val="24"/>
          <w:szCs w:val="24"/>
        </w:rPr>
        <w:t xml:space="preserve">islada </w:t>
      </w:r>
      <w:r w:rsidR="004A4555" w:rsidRPr="001106EA">
        <w:rPr>
          <w:rFonts w:ascii="Tahoma" w:hAnsi="Tahoma" w:cs="Tahoma"/>
          <w:bCs/>
          <w:iCs/>
          <w:sz w:val="24"/>
          <w:szCs w:val="24"/>
        </w:rPr>
        <w:t>“CONSENTIMIENTO TÁCITO DEL ACTO RECLAMADO EN AMPA</w:t>
      </w:r>
      <w:r w:rsidR="00812D15">
        <w:rPr>
          <w:rFonts w:ascii="Tahoma" w:hAnsi="Tahoma" w:cs="Tahoma"/>
          <w:bCs/>
          <w:iCs/>
          <w:sz w:val="24"/>
          <w:szCs w:val="24"/>
        </w:rPr>
        <w:t>RO. ELEMENTOS PARA PRESUMIRLO.”</w:t>
      </w:r>
      <w:r w:rsidR="004A4555" w:rsidRPr="001106EA">
        <w:rPr>
          <w:rFonts w:ascii="Tahoma" w:hAnsi="Tahoma" w:cs="Tahoma"/>
          <w:bCs/>
          <w:iCs/>
          <w:sz w:val="24"/>
          <w:szCs w:val="24"/>
        </w:rPr>
        <w:t xml:space="preserve"> </w:t>
      </w:r>
      <w:r w:rsidR="00812D15">
        <w:rPr>
          <w:rFonts w:ascii="Tahoma" w:hAnsi="Tahoma" w:cs="Tahoma"/>
          <w:bCs/>
          <w:iCs/>
          <w:sz w:val="24"/>
          <w:szCs w:val="24"/>
        </w:rPr>
        <w:t>(</w:t>
      </w:r>
      <w:r w:rsidR="00812D15" w:rsidRPr="00812D15">
        <w:rPr>
          <w:rFonts w:ascii="Tahoma" w:hAnsi="Tahoma" w:cs="Tahoma"/>
          <w:bCs/>
          <w:iCs/>
          <w:sz w:val="24"/>
          <w:szCs w:val="24"/>
        </w:rPr>
        <w:t>Semanario Judicial de la Federación, Octava Época</w:t>
      </w:r>
      <w:r w:rsidR="001372F3">
        <w:rPr>
          <w:rFonts w:ascii="Tahoma" w:hAnsi="Tahoma" w:cs="Tahoma"/>
          <w:bCs/>
          <w:iCs/>
          <w:sz w:val="24"/>
          <w:szCs w:val="24"/>
        </w:rPr>
        <w:t>, Tomo IX, junio de 1992, pág.</w:t>
      </w:r>
      <w:r w:rsidR="00812D15" w:rsidRPr="00812D15">
        <w:rPr>
          <w:rFonts w:ascii="Tahoma" w:hAnsi="Tahoma" w:cs="Tahoma"/>
          <w:bCs/>
          <w:iCs/>
          <w:sz w:val="24"/>
          <w:szCs w:val="24"/>
        </w:rPr>
        <w:t xml:space="preserve"> 364</w:t>
      </w:r>
      <w:r w:rsidR="001372F3">
        <w:rPr>
          <w:rFonts w:ascii="Tahoma" w:hAnsi="Tahoma" w:cs="Tahoma"/>
          <w:bCs/>
          <w:iCs/>
          <w:sz w:val="24"/>
          <w:szCs w:val="24"/>
        </w:rPr>
        <w:t>),</w:t>
      </w:r>
      <w:r w:rsidR="00812D15">
        <w:rPr>
          <w:rFonts w:ascii="Tahoma" w:hAnsi="Tahoma" w:cs="Tahoma"/>
          <w:bCs/>
          <w:iCs/>
          <w:sz w:val="24"/>
          <w:szCs w:val="24"/>
        </w:rPr>
        <w:t xml:space="preserve"> </w:t>
      </w:r>
      <w:r w:rsidR="005E2798" w:rsidRPr="001106EA">
        <w:rPr>
          <w:rFonts w:ascii="Tahoma" w:hAnsi="Tahoma" w:cs="Tahoma"/>
          <w:bCs/>
          <w:iCs/>
          <w:sz w:val="24"/>
          <w:szCs w:val="24"/>
        </w:rPr>
        <w:t xml:space="preserve">establece los elementos para presumir el consentimiento tácito </w:t>
      </w:r>
      <w:r w:rsidR="001D6868">
        <w:rPr>
          <w:rFonts w:ascii="Tahoma" w:hAnsi="Tahoma" w:cs="Tahoma"/>
          <w:bCs/>
          <w:iCs/>
          <w:sz w:val="24"/>
          <w:szCs w:val="24"/>
        </w:rPr>
        <w:t>del acto reclamado en el amparo,</w:t>
      </w:r>
      <w:r w:rsidR="005E2798" w:rsidRPr="001106EA">
        <w:rPr>
          <w:rFonts w:ascii="Tahoma" w:hAnsi="Tahoma" w:cs="Tahoma"/>
          <w:bCs/>
          <w:iCs/>
          <w:sz w:val="24"/>
          <w:szCs w:val="24"/>
        </w:rPr>
        <w:t xml:space="preserve"> </w:t>
      </w:r>
      <w:r w:rsidRPr="001106EA">
        <w:rPr>
          <w:rFonts w:ascii="Tahoma" w:hAnsi="Tahoma" w:cs="Tahoma"/>
          <w:bCs/>
          <w:iCs/>
          <w:sz w:val="24"/>
          <w:szCs w:val="24"/>
        </w:rPr>
        <w:t>a saber</w:t>
      </w:r>
      <w:r w:rsidR="005E2798" w:rsidRPr="001106EA">
        <w:rPr>
          <w:rFonts w:ascii="Tahoma" w:hAnsi="Tahoma" w:cs="Tahoma"/>
          <w:bCs/>
          <w:iCs/>
          <w:sz w:val="24"/>
          <w:szCs w:val="24"/>
        </w:rPr>
        <w:t xml:space="preserve">, los siguientes: i) Un acto de autoridad; ii) Una persona afectada por el </w:t>
      </w:r>
      <w:r w:rsidR="005E2798" w:rsidRPr="001106EA">
        <w:rPr>
          <w:rFonts w:ascii="Tahoma" w:hAnsi="Tahoma" w:cs="Tahoma"/>
          <w:bCs/>
          <w:iCs/>
          <w:sz w:val="24"/>
          <w:szCs w:val="24"/>
        </w:rPr>
        <w:lastRenderedPageBreak/>
        <w:t xml:space="preserve">hecho; iii) </w:t>
      </w:r>
      <w:r w:rsidR="00861757" w:rsidRPr="001106EA">
        <w:rPr>
          <w:rFonts w:ascii="Tahoma" w:hAnsi="Tahoma" w:cs="Tahoma"/>
          <w:bCs/>
          <w:iCs/>
          <w:sz w:val="24"/>
          <w:szCs w:val="24"/>
        </w:rPr>
        <w:t xml:space="preserve">La </w:t>
      </w:r>
      <w:r w:rsidR="005E2798" w:rsidRPr="001106EA">
        <w:rPr>
          <w:rFonts w:ascii="Tahoma" w:hAnsi="Tahoma" w:cs="Tahoma"/>
          <w:bCs/>
          <w:iCs/>
          <w:sz w:val="24"/>
          <w:szCs w:val="24"/>
        </w:rPr>
        <w:t xml:space="preserve">posibilidad de promover el juicio de amparo contra el acto en cuestión; iv) </w:t>
      </w:r>
      <w:r w:rsidR="00861757" w:rsidRPr="001106EA">
        <w:rPr>
          <w:rFonts w:ascii="Tahoma" w:hAnsi="Tahoma" w:cs="Tahoma"/>
          <w:bCs/>
          <w:iCs/>
          <w:sz w:val="24"/>
          <w:szCs w:val="24"/>
        </w:rPr>
        <w:t xml:space="preserve">El </w:t>
      </w:r>
      <w:r w:rsidR="005C73EE" w:rsidRPr="001106EA">
        <w:rPr>
          <w:rFonts w:ascii="Tahoma" w:hAnsi="Tahoma" w:cs="Tahoma"/>
          <w:bCs/>
          <w:iCs/>
          <w:sz w:val="24"/>
          <w:szCs w:val="24"/>
        </w:rPr>
        <w:t>plazo para el ejercicio de dicha acción</w:t>
      </w:r>
      <w:r w:rsidR="005E2798" w:rsidRPr="001106EA">
        <w:rPr>
          <w:rFonts w:ascii="Tahoma" w:hAnsi="Tahoma" w:cs="Tahoma"/>
          <w:bCs/>
          <w:iCs/>
          <w:sz w:val="24"/>
          <w:szCs w:val="24"/>
        </w:rPr>
        <w:t xml:space="preserve"> y</w:t>
      </w:r>
      <w:r w:rsidR="005E0B43">
        <w:rPr>
          <w:rFonts w:ascii="Tahoma" w:hAnsi="Tahoma" w:cs="Tahoma"/>
          <w:bCs/>
          <w:iCs/>
          <w:sz w:val="24"/>
          <w:szCs w:val="24"/>
        </w:rPr>
        <w:t>,</w:t>
      </w:r>
      <w:r w:rsidR="005E2798" w:rsidRPr="001106EA">
        <w:rPr>
          <w:rFonts w:ascii="Tahoma" w:hAnsi="Tahoma" w:cs="Tahoma"/>
          <w:bCs/>
          <w:iCs/>
          <w:sz w:val="24"/>
          <w:szCs w:val="24"/>
        </w:rPr>
        <w:t xml:space="preserve"> v)</w:t>
      </w:r>
      <w:r w:rsidR="005C73EE" w:rsidRPr="001106EA">
        <w:rPr>
          <w:rFonts w:ascii="Tahoma" w:hAnsi="Tahoma" w:cs="Tahoma"/>
          <w:bCs/>
          <w:iCs/>
          <w:sz w:val="24"/>
          <w:szCs w:val="24"/>
        </w:rPr>
        <w:t xml:space="preserve"> </w:t>
      </w:r>
      <w:r w:rsidR="00861757" w:rsidRPr="001106EA">
        <w:rPr>
          <w:rFonts w:ascii="Tahoma" w:hAnsi="Tahoma" w:cs="Tahoma"/>
          <w:bCs/>
          <w:iCs/>
          <w:sz w:val="24"/>
          <w:szCs w:val="24"/>
        </w:rPr>
        <w:t>E</w:t>
      </w:r>
      <w:r w:rsidR="005C73EE" w:rsidRPr="001106EA">
        <w:rPr>
          <w:rFonts w:ascii="Tahoma" w:hAnsi="Tahoma" w:cs="Tahoma"/>
          <w:bCs/>
          <w:iCs/>
          <w:sz w:val="24"/>
          <w:szCs w:val="24"/>
        </w:rPr>
        <w:t>l trascurso de ese lapso sin haberse presentando inconformidad.</w:t>
      </w:r>
      <w:r w:rsidR="005E2798" w:rsidRPr="001106EA">
        <w:rPr>
          <w:rFonts w:ascii="Tahoma" w:hAnsi="Tahoma" w:cs="Tahoma"/>
          <w:bCs/>
          <w:iCs/>
          <w:sz w:val="24"/>
          <w:szCs w:val="24"/>
        </w:rPr>
        <w:t xml:space="preserve"> </w:t>
      </w:r>
    </w:p>
    <w:p w:rsidR="00140A57" w:rsidRPr="001106EA" w:rsidRDefault="00140A57" w:rsidP="00032450">
      <w:pPr>
        <w:spacing w:after="0" w:line="276" w:lineRule="auto"/>
        <w:jc w:val="both"/>
        <w:rPr>
          <w:rFonts w:ascii="Tahoma" w:hAnsi="Tahoma" w:cs="Tahoma"/>
          <w:sz w:val="24"/>
          <w:szCs w:val="24"/>
        </w:rPr>
      </w:pPr>
    </w:p>
    <w:p w:rsidR="005E3707" w:rsidRDefault="00D264EA" w:rsidP="00032450">
      <w:pPr>
        <w:spacing w:after="0" w:line="276" w:lineRule="auto"/>
        <w:jc w:val="both"/>
        <w:rPr>
          <w:rFonts w:ascii="Tahoma" w:hAnsi="Tahoma" w:cs="Tahoma"/>
          <w:sz w:val="24"/>
          <w:szCs w:val="24"/>
        </w:rPr>
      </w:pPr>
      <w:r>
        <w:rPr>
          <w:rFonts w:ascii="Tahoma" w:hAnsi="Tahoma" w:cs="Tahoma"/>
          <w:sz w:val="24"/>
          <w:szCs w:val="24"/>
        </w:rPr>
        <w:t>D</w:t>
      </w:r>
      <w:r w:rsidR="001D6868">
        <w:rPr>
          <w:rFonts w:ascii="Tahoma" w:hAnsi="Tahoma" w:cs="Tahoma"/>
          <w:sz w:val="24"/>
          <w:szCs w:val="24"/>
        </w:rPr>
        <w:t xml:space="preserve">esde mi perspectiva </w:t>
      </w:r>
      <w:r w:rsidR="005C73EE" w:rsidRPr="001106EA">
        <w:rPr>
          <w:rFonts w:ascii="Tahoma" w:hAnsi="Tahoma" w:cs="Tahoma"/>
          <w:sz w:val="24"/>
          <w:szCs w:val="24"/>
        </w:rPr>
        <w:t xml:space="preserve">en el presenta caso, toda vez que </w:t>
      </w:r>
      <w:r w:rsidR="001D6868">
        <w:rPr>
          <w:rFonts w:ascii="Tahoma" w:hAnsi="Tahoma" w:cs="Tahoma"/>
          <w:sz w:val="24"/>
          <w:szCs w:val="24"/>
        </w:rPr>
        <w:t>existe</w:t>
      </w:r>
      <w:r w:rsidR="00287B12">
        <w:rPr>
          <w:rFonts w:ascii="Tahoma" w:hAnsi="Tahoma" w:cs="Tahoma"/>
          <w:sz w:val="24"/>
          <w:szCs w:val="24"/>
        </w:rPr>
        <w:t>:</w:t>
      </w:r>
      <w:r w:rsidR="001D6868">
        <w:rPr>
          <w:rFonts w:ascii="Tahoma" w:hAnsi="Tahoma" w:cs="Tahoma"/>
          <w:sz w:val="24"/>
          <w:szCs w:val="24"/>
        </w:rPr>
        <w:t xml:space="preserve"> un acto de autoridad, la respuesta a la solicitud de acceso a la información; una persona afectada por</w:t>
      </w:r>
      <w:r w:rsidR="005E3707">
        <w:rPr>
          <w:rFonts w:ascii="Tahoma" w:hAnsi="Tahoma" w:cs="Tahoma"/>
          <w:sz w:val="24"/>
          <w:szCs w:val="24"/>
        </w:rPr>
        <w:t xml:space="preserve"> el hecho </w:t>
      </w:r>
      <w:r w:rsidR="00287B12">
        <w:rPr>
          <w:rFonts w:ascii="Tahoma" w:hAnsi="Tahoma" w:cs="Tahoma"/>
          <w:sz w:val="24"/>
          <w:szCs w:val="24"/>
        </w:rPr>
        <w:t>-</w:t>
      </w:r>
      <w:r w:rsidR="005E3707">
        <w:rPr>
          <w:rFonts w:ascii="Tahoma" w:hAnsi="Tahoma" w:cs="Tahoma"/>
          <w:sz w:val="24"/>
          <w:szCs w:val="24"/>
        </w:rPr>
        <w:t>el ahora recurrente</w:t>
      </w:r>
      <w:r w:rsidR="00287B12">
        <w:rPr>
          <w:rFonts w:ascii="Tahoma" w:hAnsi="Tahoma" w:cs="Tahoma"/>
          <w:sz w:val="24"/>
          <w:szCs w:val="24"/>
        </w:rPr>
        <w:t>-</w:t>
      </w:r>
      <w:r w:rsidR="005E3707">
        <w:rPr>
          <w:rFonts w:ascii="Tahoma" w:hAnsi="Tahoma" w:cs="Tahoma"/>
          <w:sz w:val="24"/>
          <w:szCs w:val="24"/>
        </w:rPr>
        <w:t xml:space="preserve">; </w:t>
      </w:r>
      <w:r w:rsidR="001D6868">
        <w:rPr>
          <w:rFonts w:ascii="Tahoma" w:hAnsi="Tahoma" w:cs="Tahoma"/>
          <w:sz w:val="24"/>
          <w:szCs w:val="24"/>
        </w:rPr>
        <w:t>la posibilidad de promover el rec</w:t>
      </w:r>
      <w:r w:rsidR="005E3707">
        <w:rPr>
          <w:rFonts w:ascii="Tahoma" w:hAnsi="Tahoma" w:cs="Tahoma"/>
          <w:sz w:val="24"/>
          <w:szCs w:val="24"/>
        </w:rPr>
        <w:t>urso de revisión previsto por el artículo 176 de la Ley de Transparencia y Acceso a la Información Pública del Estado de México y Municipios, mediante el cual se pretende reparar cualquier posible afectación al derecho de acceso a la inf</w:t>
      </w:r>
      <w:r w:rsidR="00287B12">
        <w:rPr>
          <w:rFonts w:ascii="Tahoma" w:hAnsi="Tahoma" w:cs="Tahoma"/>
          <w:sz w:val="24"/>
          <w:szCs w:val="24"/>
        </w:rPr>
        <w:t>ormación;</w:t>
      </w:r>
      <w:r w:rsidR="005E3707">
        <w:rPr>
          <w:rFonts w:ascii="Tahoma" w:hAnsi="Tahoma" w:cs="Tahoma"/>
          <w:sz w:val="24"/>
          <w:szCs w:val="24"/>
        </w:rPr>
        <w:t xml:space="preserve"> un plazo legal de quince días</w:t>
      </w:r>
      <w:r w:rsidR="00636FD3">
        <w:rPr>
          <w:rFonts w:ascii="Tahoma" w:hAnsi="Tahoma" w:cs="Tahoma"/>
          <w:sz w:val="24"/>
          <w:szCs w:val="24"/>
        </w:rPr>
        <w:t xml:space="preserve"> hábiles</w:t>
      </w:r>
      <w:r w:rsidR="005E3707">
        <w:rPr>
          <w:rFonts w:ascii="Tahoma" w:hAnsi="Tahoma" w:cs="Tahoma"/>
          <w:sz w:val="24"/>
          <w:szCs w:val="24"/>
        </w:rPr>
        <w:t xml:space="preserve"> para la interposición del recurso de revisión, conforme al artículo 178</w:t>
      </w:r>
      <w:r w:rsidR="00636FD3">
        <w:rPr>
          <w:rFonts w:ascii="Tahoma" w:hAnsi="Tahoma" w:cs="Tahoma"/>
          <w:sz w:val="24"/>
          <w:szCs w:val="24"/>
        </w:rPr>
        <w:t xml:space="preserve"> del ordenamiento legal en cita</w:t>
      </w:r>
      <w:r w:rsidR="005E3707">
        <w:rPr>
          <w:rFonts w:ascii="Tahoma" w:hAnsi="Tahoma" w:cs="Tahoma"/>
          <w:sz w:val="24"/>
          <w:szCs w:val="24"/>
        </w:rPr>
        <w:t xml:space="preserve"> y</w:t>
      </w:r>
      <w:r w:rsidR="00636FD3">
        <w:rPr>
          <w:rFonts w:ascii="Tahoma" w:hAnsi="Tahoma" w:cs="Tahoma"/>
          <w:sz w:val="24"/>
          <w:szCs w:val="24"/>
        </w:rPr>
        <w:t>, que</w:t>
      </w:r>
      <w:r w:rsidR="005E3707">
        <w:rPr>
          <w:rFonts w:ascii="Tahoma" w:hAnsi="Tahoma" w:cs="Tahoma"/>
          <w:sz w:val="24"/>
          <w:szCs w:val="24"/>
        </w:rPr>
        <w:t xml:space="preserve"> transcurrió el plazo sin que el ahora recurrente manifestara queja alguna con </w:t>
      </w:r>
      <w:r w:rsidR="00625B4D">
        <w:rPr>
          <w:rFonts w:ascii="Tahoma" w:hAnsi="Tahoma" w:cs="Tahoma"/>
          <w:sz w:val="24"/>
          <w:szCs w:val="24"/>
        </w:rPr>
        <w:t>la falta de los recibos de nómina de la primera quincena de diciembre</w:t>
      </w:r>
      <w:r w:rsidR="005E3707">
        <w:rPr>
          <w:rFonts w:ascii="Tahoma" w:hAnsi="Tahoma" w:cs="Tahoma"/>
          <w:sz w:val="24"/>
          <w:szCs w:val="24"/>
        </w:rPr>
        <w:t xml:space="preserve">, debe considerarse que la respuesta otorgada por el </w:t>
      </w:r>
      <w:r w:rsidR="004F1B7F">
        <w:rPr>
          <w:rFonts w:ascii="Tahoma" w:hAnsi="Tahoma" w:cs="Tahoma"/>
          <w:sz w:val="24"/>
          <w:szCs w:val="24"/>
        </w:rPr>
        <w:t>Sujeto Obligado</w:t>
      </w:r>
      <w:r w:rsidR="00625B4D">
        <w:rPr>
          <w:rFonts w:ascii="Tahoma" w:hAnsi="Tahoma" w:cs="Tahoma"/>
          <w:sz w:val="24"/>
          <w:szCs w:val="24"/>
        </w:rPr>
        <w:t xml:space="preserve"> a dicho contenido</w:t>
      </w:r>
      <w:r w:rsidR="005E3707">
        <w:rPr>
          <w:rFonts w:ascii="Tahoma" w:hAnsi="Tahoma" w:cs="Tahoma"/>
          <w:sz w:val="24"/>
          <w:szCs w:val="24"/>
        </w:rPr>
        <w:t xml:space="preserve"> de información es un acto consentido tácitamente.</w:t>
      </w:r>
    </w:p>
    <w:p w:rsidR="005E3707" w:rsidRDefault="005E3707" w:rsidP="00032450">
      <w:pPr>
        <w:spacing w:after="0" w:line="276" w:lineRule="auto"/>
        <w:jc w:val="both"/>
        <w:rPr>
          <w:rFonts w:ascii="Tahoma" w:hAnsi="Tahoma" w:cs="Tahoma"/>
          <w:sz w:val="24"/>
          <w:szCs w:val="24"/>
        </w:rPr>
      </w:pPr>
    </w:p>
    <w:p w:rsidR="00E6045A" w:rsidRDefault="005E3707" w:rsidP="00A45560">
      <w:pPr>
        <w:spacing w:after="0" w:line="276" w:lineRule="auto"/>
        <w:jc w:val="both"/>
        <w:rPr>
          <w:rFonts w:ascii="Tahoma" w:hAnsi="Tahoma" w:cs="Tahoma"/>
          <w:sz w:val="24"/>
          <w:szCs w:val="24"/>
        </w:rPr>
      </w:pPr>
      <w:r>
        <w:rPr>
          <w:rFonts w:ascii="Tahoma" w:hAnsi="Tahoma" w:cs="Tahoma"/>
          <w:sz w:val="24"/>
          <w:szCs w:val="24"/>
        </w:rPr>
        <w:t xml:space="preserve">Ahora bien, no pasa desapercibido para un servidor, que el Comisionado Ponente </w:t>
      </w:r>
      <w:r w:rsidR="00E6045A">
        <w:rPr>
          <w:rFonts w:ascii="Tahoma" w:hAnsi="Tahoma" w:cs="Tahoma"/>
          <w:sz w:val="24"/>
          <w:szCs w:val="24"/>
        </w:rPr>
        <w:t xml:space="preserve">en su Resolución, </w:t>
      </w:r>
      <w:r w:rsidR="00652B5D">
        <w:rPr>
          <w:rFonts w:ascii="Tahoma" w:hAnsi="Tahoma" w:cs="Tahoma"/>
          <w:sz w:val="24"/>
          <w:szCs w:val="24"/>
        </w:rPr>
        <w:t xml:space="preserve">bajo una profunda argumentación </w:t>
      </w:r>
      <w:r w:rsidR="00E6045A">
        <w:rPr>
          <w:rFonts w:ascii="Tahoma" w:hAnsi="Tahoma" w:cs="Tahoma"/>
          <w:sz w:val="24"/>
          <w:szCs w:val="24"/>
        </w:rPr>
        <w:t>justifica</w:t>
      </w:r>
      <w:r>
        <w:rPr>
          <w:rFonts w:ascii="Tahoma" w:hAnsi="Tahoma" w:cs="Tahoma"/>
          <w:sz w:val="24"/>
          <w:szCs w:val="24"/>
        </w:rPr>
        <w:t xml:space="preserve"> </w:t>
      </w:r>
      <w:r w:rsidR="00E6045A">
        <w:rPr>
          <w:rFonts w:ascii="Tahoma" w:hAnsi="Tahoma" w:cs="Tahoma"/>
          <w:sz w:val="24"/>
          <w:szCs w:val="24"/>
        </w:rPr>
        <w:t xml:space="preserve">el </w:t>
      </w:r>
      <w:r w:rsidR="00E6045A" w:rsidRPr="00984E54">
        <w:rPr>
          <w:rFonts w:ascii="Tahoma" w:hAnsi="Tahoma" w:cs="Tahoma"/>
          <w:sz w:val="24"/>
          <w:szCs w:val="24"/>
        </w:rPr>
        <w:t>análisis</w:t>
      </w:r>
      <w:r w:rsidRPr="00984E54">
        <w:rPr>
          <w:rFonts w:ascii="Tahoma" w:hAnsi="Tahoma" w:cs="Tahoma"/>
          <w:sz w:val="24"/>
          <w:szCs w:val="24"/>
        </w:rPr>
        <w:t xml:space="preserve"> de actos que no fueron motivo de reclamo, en el principio pro-persona y la suplencia de la queja </w:t>
      </w:r>
      <w:r w:rsidR="00A45560" w:rsidRPr="00984E54">
        <w:rPr>
          <w:rFonts w:ascii="Tahoma" w:hAnsi="Tahoma" w:cs="Tahoma"/>
          <w:sz w:val="24"/>
          <w:szCs w:val="24"/>
        </w:rPr>
        <w:t xml:space="preserve">a favor del recurrente. Respecto al primero, es importante decir que </w:t>
      </w:r>
      <w:r w:rsidR="004817AD" w:rsidRPr="00984E54">
        <w:rPr>
          <w:rFonts w:ascii="Tahoma" w:hAnsi="Tahoma" w:cs="Tahoma"/>
          <w:sz w:val="24"/>
          <w:szCs w:val="24"/>
        </w:rPr>
        <w:t xml:space="preserve">el principio pro-persona, </w:t>
      </w:r>
      <w:r w:rsidR="00A45560" w:rsidRPr="00984E54">
        <w:rPr>
          <w:rFonts w:ascii="Tahoma" w:hAnsi="Tahoma" w:cs="Tahoma"/>
          <w:sz w:val="24"/>
          <w:szCs w:val="24"/>
        </w:rPr>
        <w:t xml:space="preserve">deriva </w:t>
      </w:r>
      <w:r w:rsidR="004817AD" w:rsidRPr="00984E54">
        <w:rPr>
          <w:rFonts w:ascii="Tahoma" w:hAnsi="Tahoma" w:cs="Tahoma"/>
          <w:sz w:val="24"/>
          <w:szCs w:val="24"/>
        </w:rPr>
        <w:t xml:space="preserve">de </w:t>
      </w:r>
      <w:r w:rsidR="00A45560" w:rsidRPr="00984E54">
        <w:rPr>
          <w:rFonts w:ascii="Tahoma" w:hAnsi="Tahoma" w:cs="Tahoma"/>
          <w:sz w:val="24"/>
          <w:szCs w:val="24"/>
        </w:rPr>
        <w:t>la reforma constitucional en materia de derechos humanos, publicada en el Diario Oficial de la Fe</w:t>
      </w:r>
      <w:r w:rsidR="005C27BE" w:rsidRPr="00984E54">
        <w:rPr>
          <w:rFonts w:ascii="Tahoma" w:hAnsi="Tahoma" w:cs="Tahoma"/>
          <w:sz w:val="24"/>
          <w:szCs w:val="24"/>
        </w:rPr>
        <w:t>deración el 10 de junio de 2011; sin embargo,</w:t>
      </w:r>
      <w:r w:rsidR="005C27BE">
        <w:rPr>
          <w:rFonts w:ascii="Tahoma" w:hAnsi="Tahoma" w:cs="Tahoma"/>
          <w:sz w:val="24"/>
          <w:szCs w:val="24"/>
        </w:rPr>
        <w:t xml:space="preserve"> conviene traer a colación la Tesis de Jurisprudencia “</w:t>
      </w:r>
      <w:r w:rsidR="005C27BE" w:rsidRPr="005C27BE">
        <w:rPr>
          <w:rFonts w:ascii="Tahoma" w:hAnsi="Tahoma" w:cs="Tahoma"/>
          <w:sz w:val="24"/>
          <w:szCs w:val="24"/>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005C27BE">
        <w:rPr>
          <w:rFonts w:ascii="Tahoma" w:hAnsi="Tahoma" w:cs="Tahoma"/>
          <w:sz w:val="24"/>
          <w:szCs w:val="24"/>
        </w:rPr>
        <w:t>” (</w:t>
      </w:r>
      <w:r w:rsidR="005C27BE" w:rsidRPr="005C27BE">
        <w:rPr>
          <w:rFonts w:ascii="Tahoma" w:hAnsi="Tahoma" w:cs="Tahoma"/>
          <w:sz w:val="24"/>
          <w:szCs w:val="24"/>
        </w:rPr>
        <w:t>Semanario Judicial de la Federación</w:t>
      </w:r>
      <w:r w:rsidR="005C27BE">
        <w:rPr>
          <w:rFonts w:ascii="Tahoma" w:hAnsi="Tahoma" w:cs="Tahoma"/>
          <w:sz w:val="24"/>
          <w:szCs w:val="24"/>
        </w:rPr>
        <w:t xml:space="preserve"> y su Gaceta, Décima Época</w:t>
      </w:r>
      <w:r w:rsidR="00652B5D">
        <w:rPr>
          <w:rFonts w:ascii="Tahoma" w:hAnsi="Tahoma" w:cs="Tahoma"/>
          <w:sz w:val="24"/>
          <w:szCs w:val="24"/>
        </w:rPr>
        <w:t>,</w:t>
      </w:r>
      <w:r w:rsidR="00652B5D" w:rsidRPr="00652B5D">
        <w:rPr>
          <w:rFonts w:ascii="Tahoma" w:hAnsi="Tahoma" w:cs="Tahoma"/>
          <w:sz w:val="24"/>
          <w:szCs w:val="24"/>
        </w:rPr>
        <w:t xml:space="preserve"> </w:t>
      </w:r>
      <w:r w:rsidR="00652B5D" w:rsidRPr="005C27BE">
        <w:rPr>
          <w:rFonts w:ascii="Tahoma" w:hAnsi="Tahoma" w:cs="Tahoma"/>
          <w:sz w:val="24"/>
          <w:szCs w:val="24"/>
        </w:rPr>
        <w:t xml:space="preserve">Tomo IV, Noviembre de 2015, </w:t>
      </w:r>
      <w:r w:rsidR="00652B5D">
        <w:rPr>
          <w:rFonts w:ascii="Tahoma" w:hAnsi="Tahoma" w:cs="Tahoma"/>
          <w:sz w:val="24"/>
          <w:szCs w:val="24"/>
        </w:rPr>
        <w:t xml:space="preserve">Pág. 3229), en la que se precisó que el nuevo modelo generó </w:t>
      </w:r>
      <w:r w:rsidR="00A45560">
        <w:rPr>
          <w:rFonts w:ascii="Tahoma" w:hAnsi="Tahoma" w:cs="Tahoma"/>
          <w:sz w:val="24"/>
          <w:szCs w:val="24"/>
        </w:rPr>
        <w:t xml:space="preserve">deberes para las </w:t>
      </w:r>
      <w:r w:rsidR="00A45560" w:rsidRPr="00A45560">
        <w:rPr>
          <w:rFonts w:ascii="Tahoma" w:hAnsi="Tahoma" w:cs="Tahoma"/>
          <w:sz w:val="24"/>
          <w:szCs w:val="24"/>
        </w:rPr>
        <w:t xml:space="preserve">autoridades del Estado Mexicano y, particularmente, para los </w:t>
      </w:r>
      <w:r w:rsidR="00A45560">
        <w:rPr>
          <w:rFonts w:ascii="Tahoma" w:hAnsi="Tahoma" w:cs="Tahoma"/>
          <w:sz w:val="24"/>
          <w:szCs w:val="24"/>
        </w:rPr>
        <w:t xml:space="preserve">órganos jurisdiccionales, en el </w:t>
      </w:r>
      <w:r w:rsidR="00A45560" w:rsidRPr="00A45560">
        <w:rPr>
          <w:rFonts w:ascii="Tahoma" w:hAnsi="Tahoma" w:cs="Tahoma"/>
          <w:sz w:val="24"/>
          <w:szCs w:val="24"/>
        </w:rPr>
        <w:t>sentido de promover, respetar, proteger y garantizar los derechos humanos, c</w:t>
      </w:r>
      <w:r w:rsidR="00A45560">
        <w:rPr>
          <w:rFonts w:ascii="Tahoma" w:hAnsi="Tahoma" w:cs="Tahoma"/>
          <w:sz w:val="24"/>
          <w:szCs w:val="24"/>
        </w:rPr>
        <w:t xml:space="preserve">on independencia </w:t>
      </w:r>
      <w:r w:rsidR="00A45560" w:rsidRPr="00A45560">
        <w:rPr>
          <w:rFonts w:ascii="Tahoma" w:hAnsi="Tahoma" w:cs="Tahoma"/>
          <w:sz w:val="24"/>
          <w:szCs w:val="24"/>
        </w:rPr>
        <w:t xml:space="preserve">de su </w:t>
      </w:r>
      <w:r w:rsidR="00A45560" w:rsidRPr="00A45560">
        <w:rPr>
          <w:rFonts w:ascii="Tahoma" w:hAnsi="Tahoma" w:cs="Tahoma"/>
          <w:sz w:val="24"/>
          <w:szCs w:val="24"/>
        </w:rPr>
        <w:lastRenderedPageBreak/>
        <w:t xml:space="preserve">fuente, de conformidad con ciertos principios de optimización interpretativa, </w:t>
      </w:r>
      <w:r w:rsidR="00652B5D">
        <w:rPr>
          <w:rFonts w:ascii="Tahoma" w:hAnsi="Tahoma" w:cs="Tahoma"/>
          <w:sz w:val="24"/>
          <w:szCs w:val="24"/>
        </w:rPr>
        <w:t>como</w:t>
      </w:r>
      <w:r w:rsidR="00A45560" w:rsidRPr="00A45560">
        <w:rPr>
          <w:rFonts w:ascii="Tahoma" w:hAnsi="Tahoma" w:cs="Tahoma"/>
          <w:sz w:val="24"/>
          <w:szCs w:val="24"/>
        </w:rPr>
        <w:t xml:space="preserve"> el</w:t>
      </w:r>
      <w:r w:rsidR="00A45560">
        <w:rPr>
          <w:rFonts w:ascii="Tahoma" w:hAnsi="Tahoma" w:cs="Tahoma"/>
          <w:sz w:val="24"/>
          <w:szCs w:val="24"/>
        </w:rPr>
        <w:t xml:space="preserve"> </w:t>
      </w:r>
      <w:r w:rsidR="00A45560" w:rsidRPr="00A45560">
        <w:rPr>
          <w:rFonts w:ascii="Tahoma" w:hAnsi="Tahoma" w:cs="Tahoma"/>
          <w:sz w:val="24"/>
          <w:szCs w:val="24"/>
        </w:rPr>
        <w:t>de interpretación más favorable a la persona</w:t>
      </w:r>
      <w:r w:rsidR="00E6045A">
        <w:rPr>
          <w:rFonts w:ascii="Tahoma" w:hAnsi="Tahoma" w:cs="Tahoma"/>
          <w:sz w:val="24"/>
          <w:szCs w:val="24"/>
        </w:rPr>
        <w:t>.</w:t>
      </w:r>
    </w:p>
    <w:p w:rsidR="001372F3" w:rsidRDefault="001372F3" w:rsidP="00A45560">
      <w:pPr>
        <w:spacing w:after="0" w:line="276" w:lineRule="auto"/>
        <w:jc w:val="both"/>
        <w:rPr>
          <w:rFonts w:ascii="Tahoma" w:hAnsi="Tahoma" w:cs="Tahoma"/>
          <w:sz w:val="24"/>
          <w:szCs w:val="24"/>
        </w:rPr>
      </w:pPr>
    </w:p>
    <w:p w:rsidR="005C73EE" w:rsidRDefault="00D264EA" w:rsidP="00652B5D">
      <w:pPr>
        <w:spacing w:after="0" w:line="276" w:lineRule="auto"/>
        <w:jc w:val="both"/>
        <w:rPr>
          <w:rFonts w:ascii="Tahoma" w:hAnsi="Tahoma" w:cs="Tahoma"/>
          <w:sz w:val="24"/>
          <w:szCs w:val="24"/>
        </w:rPr>
      </w:pPr>
      <w:r>
        <w:rPr>
          <w:rFonts w:ascii="Tahoma" w:hAnsi="Tahoma" w:cs="Tahoma"/>
          <w:sz w:val="24"/>
          <w:szCs w:val="24"/>
        </w:rPr>
        <w:t>Destaca también,</w:t>
      </w:r>
      <w:r w:rsidR="00652B5D">
        <w:rPr>
          <w:rFonts w:ascii="Tahoma" w:hAnsi="Tahoma" w:cs="Tahoma"/>
          <w:sz w:val="24"/>
          <w:szCs w:val="24"/>
        </w:rPr>
        <w:t xml:space="preserve"> que el modelo basado en el principio pro-persona, no debe </w:t>
      </w:r>
      <w:r w:rsidR="005419D8">
        <w:rPr>
          <w:rFonts w:ascii="Tahoma" w:hAnsi="Tahoma" w:cs="Tahoma"/>
          <w:sz w:val="24"/>
          <w:szCs w:val="24"/>
        </w:rPr>
        <w:t>interpretarse en el sentido de que</w:t>
      </w:r>
      <w:r w:rsidR="00A45560" w:rsidRPr="00A45560">
        <w:rPr>
          <w:rFonts w:ascii="Tahoma" w:hAnsi="Tahoma" w:cs="Tahoma"/>
          <w:sz w:val="24"/>
          <w:szCs w:val="24"/>
        </w:rPr>
        <w:t xml:space="preserve"> los órganos jurisdiccionales</w:t>
      </w:r>
      <w:r w:rsidR="00A45560">
        <w:rPr>
          <w:rFonts w:ascii="Tahoma" w:hAnsi="Tahoma" w:cs="Tahoma"/>
          <w:sz w:val="24"/>
          <w:szCs w:val="24"/>
        </w:rPr>
        <w:t xml:space="preserve"> </w:t>
      </w:r>
      <w:r w:rsidR="00A45560" w:rsidRPr="00A45560">
        <w:rPr>
          <w:rFonts w:ascii="Tahoma" w:hAnsi="Tahoma" w:cs="Tahoma"/>
          <w:sz w:val="24"/>
          <w:szCs w:val="24"/>
        </w:rPr>
        <w:t>dejen de observar en su labor</w:t>
      </w:r>
      <w:r w:rsidR="005419D8">
        <w:rPr>
          <w:rFonts w:ascii="Tahoma" w:hAnsi="Tahoma" w:cs="Tahoma"/>
          <w:sz w:val="24"/>
          <w:szCs w:val="24"/>
        </w:rPr>
        <w:t>,</w:t>
      </w:r>
      <w:r w:rsidR="00A45560" w:rsidRPr="00A45560">
        <w:rPr>
          <w:rFonts w:ascii="Tahoma" w:hAnsi="Tahoma" w:cs="Tahoma"/>
          <w:sz w:val="24"/>
          <w:szCs w:val="24"/>
        </w:rPr>
        <w:t xml:space="preserve"> los diversos </w:t>
      </w:r>
      <w:r w:rsidR="00A45560" w:rsidRPr="00742770">
        <w:rPr>
          <w:rFonts w:ascii="Tahoma" w:hAnsi="Tahoma" w:cs="Tahoma"/>
          <w:sz w:val="24"/>
          <w:szCs w:val="24"/>
        </w:rPr>
        <w:t xml:space="preserve">principios y restricciones previstos en la Constitución Política de los Estados Unidos Mexicanos, aplicables a los procedimientos de que conocen y, </w:t>
      </w:r>
      <w:r w:rsidR="005419D8" w:rsidRPr="00742770">
        <w:rPr>
          <w:rFonts w:ascii="Tahoma" w:hAnsi="Tahoma" w:cs="Tahoma"/>
          <w:sz w:val="24"/>
          <w:szCs w:val="24"/>
        </w:rPr>
        <w:t xml:space="preserve">debe tenerse presente que </w:t>
      </w:r>
      <w:r w:rsidR="00A45560" w:rsidRPr="00742770">
        <w:rPr>
          <w:rFonts w:ascii="Tahoma" w:hAnsi="Tahoma" w:cs="Tahoma"/>
          <w:sz w:val="24"/>
          <w:szCs w:val="24"/>
          <w:u w:val="single"/>
        </w:rPr>
        <w:t>el ejercicio de control constitucional o convencional está supeditado, tratándose del oficioso, a que el órgano jurisdiccional advierta la sospecha de disconformidad de la norma aplicable o el acto de autoridad, con los derechos humanos reconocidos</w:t>
      </w:r>
      <w:r w:rsidR="00A45560" w:rsidRPr="00742770">
        <w:rPr>
          <w:rFonts w:ascii="Tahoma" w:hAnsi="Tahoma" w:cs="Tahoma"/>
          <w:b/>
          <w:sz w:val="24"/>
          <w:szCs w:val="24"/>
        </w:rPr>
        <w:t xml:space="preserve"> </w:t>
      </w:r>
      <w:r w:rsidR="00A45560" w:rsidRPr="00742770">
        <w:rPr>
          <w:rFonts w:ascii="Tahoma" w:hAnsi="Tahoma" w:cs="Tahoma"/>
          <w:sz w:val="24"/>
          <w:szCs w:val="24"/>
        </w:rPr>
        <w:t>y, tratándose del que debe ejercerse a petición de parte, a que se cumplan los requisitos mínimos del planteamiento respectivo, consistentes en que, aunado a que se</w:t>
      </w:r>
      <w:r w:rsidR="00A45560" w:rsidRPr="00A45560">
        <w:rPr>
          <w:rFonts w:ascii="Tahoma" w:hAnsi="Tahoma" w:cs="Tahoma"/>
          <w:sz w:val="24"/>
          <w:szCs w:val="24"/>
        </w:rPr>
        <w:t xml:space="preserve"> pida la aplicación del principio pro persona o se impugne</w:t>
      </w:r>
      <w:r w:rsidR="00A45560">
        <w:rPr>
          <w:rFonts w:ascii="Tahoma" w:hAnsi="Tahoma" w:cs="Tahoma"/>
          <w:sz w:val="24"/>
          <w:szCs w:val="24"/>
        </w:rPr>
        <w:t xml:space="preserve"> </w:t>
      </w:r>
      <w:r w:rsidR="00A45560" w:rsidRPr="00A45560">
        <w:rPr>
          <w:rFonts w:ascii="Tahoma" w:hAnsi="Tahoma" w:cs="Tahoma"/>
          <w:sz w:val="24"/>
          <w:szCs w:val="24"/>
        </w:rPr>
        <w:t>su falta de aplicación por la autoridad responsable, se señale también cuál es el derecho humano</w:t>
      </w:r>
      <w:r w:rsidR="00A45560">
        <w:rPr>
          <w:rFonts w:ascii="Tahoma" w:hAnsi="Tahoma" w:cs="Tahoma"/>
          <w:sz w:val="24"/>
          <w:szCs w:val="24"/>
        </w:rPr>
        <w:t xml:space="preserve"> </w:t>
      </w:r>
      <w:r w:rsidR="00A45560" w:rsidRPr="00A45560">
        <w:rPr>
          <w:rFonts w:ascii="Tahoma" w:hAnsi="Tahoma" w:cs="Tahoma"/>
          <w:sz w:val="24"/>
          <w:szCs w:val="24"/>
        </w:rPr>
        <w:t>cuya maximización se pretende, se indique la norma cuya aplicación debe preferirse o la</w:t>
      </w:r>
      <w:r w:rsidR="00A45560">
        <w:rPr>
          <w:rFonts w:ascii="Tahoma" w:hAnsi="Tahoma" w:cs="Tahoma"/>
          <w:sz w:val="24"/>
          <w:szCs w:val="24"/>
        </w:rPr>
        <w:t xml:space="preserve"> </w:t>
      </w:r>
      <w:r w:rsidR="00A45560" w:rsidRPr="00A45560">
        <w:rPr>
          <w:rFonts w:ascii="Tahoma" w:hAnsi="Tahoma" w:cs="Tahoma"/>
          <w:sz w:val="24"/>
          <w:szCs w:val="24"/>
        </w:rPr>
        <w:t>interpretación que resulta más favorable hacia el derecho fundamental restringido y se precisen</w:t>
      </w:r>
      <w:r w:rsidR="00A45560">
        <w:rPr>
          <w:rFonts w:ascii="Tahoma" w:hAnsi="Tahoma" w:cs="Tahoma"/>
          <w:sz w:val="24"/>
          <w:szCs w:val="24"/>
        </w:rPr>
        <w:t xml:space="preserve"> </w:t>
      </w:r>
      <w:r w:rsidR="00A45560" w:rsidRPr="00A45560">
        <w:rPr>
          <w:rFonts w:ascii="Tahoma" w:hAnsi="Tahoma" w:cs="Tahoma"/>
          <w:sz w:val="24"/>
          <w:szCs w:val="24"/>
        </w:rPr>
        <w:t>los motivos para preferirlos en lugar de otras norm</w:t>
      </w:r>
      <w:r w:rsidR="00A45560">
        <w:rPr>
          <w:rFonts w:ascii="Tahoma" w:hAnsi="Tahoma" w:cs="Tahoma"/>
          <w:sz w:val="24"/>
          <w:szCs w:val="24"/>
        </w:rPr>
        <w:t>as o interpretaciones posibles.</w:t>
      </w:r>
    </w:p>
    <w:p w:rsidR="00A45560" w:rsidRDefault="00A45560" w:rsidP="00A45560">
      <w:pPr>
        <w:spacing w:after="0" w:line="276" w:lineRule="auto"/>
        <w:jc w:val="both"/>
        <w:rPr>
          <w:rFonts w:ascii="Tahoma" w:hAnsi="Tahoma" w:cs="Tahoma"/>
          <w:sz w:val="24"/>
          <w:szCs w:val="24"/>
        </w:rPr>
      </w:pPr>
    </w:p>
    <w:p w:rsidR="00A45560" w:rsidRPr="00D162DB" w:rsidRDefault="00F3171F" w:rsidP="00610A16">
      <w:pPr>
        <w:spacing w:after="0" w:line="276" w:lineRule="auto"/>
        <w:jc w:val="both"/>
        <w:rPr>
          <w:rFonts w:ascii="Tahoma" w:hAnsi="Tahoma" w:cs="Tahoma"/>
          <w:sz w:val="24"/>
          <w:szCs w:val="24"/>
          <w:u w:val="single"/>
        </w:rPr>
      </w:pPr>
      <w:r>
        <w:rPr>
          <w:rFonts w:ascii="Tahoma" w:hAnsi="Tahoma" w:cs="Tahoma"/>
          <w:sz w:val="24"/>
          <w:szCs w:val="24"/>
        </w:rPr>
        <w:t>Por tanto,</w:t>
      </w:r>
      <w:r w:rsidR="00652B5D">
        <w:rPr>
          <w:rFonts w:ascii="Tahoma" w:hAnsi="Tahoma" w:cs="Tahoma"/>
          <w:sz w:val="24"/>
          <w:szCs w:val="24"/>
        </w:rPr>
        <w:t xml:space="preserve"> </w:t>
      </w:r>
      <w:r w:rsidR="00610A16">
        <w:rPr>
          <w:rFonts w:ascii="Tahoma" w:hAnsi="Tahoma" w:cs="Tahoma"/>
          <w:sz w:val="24"/>
          <w:szCs w:val="24"/>
        </w:rPr>
        <w:t>l</w:t>
      </w:r>
      <w:r w:rsidR="00610A16" w:rsidRPr="00610A16">
        <w:rPr>
          <w:rFonts w:ascii="Tahoma" w:hAnsi="Tahoma" w:cs="Tahoma"/>
          <w:sz w:val="24"/>
          <w:szCs w:val="24"/>
        </w:rPr>
        <w:t>os</w:t>
      </w:r>
      <w:r w:rsidR="00610A16">
        <w:rPr>
          <w:rFonts w:ascii="Tahoma" w:hAnsi="Tahoma" w:cs="Tahoma"/>
          <w:sz w:val="24"/>
          <w:szCs w:val="24"/>
        </w:rPr>
        <w:t xml:space="preserve"> actos no reclamados</w:t>
      </w:r>
      <w:r w:rsidR="00610A16" w:rsidRPr="00610A16">
        <w:rPr>
          <w:rFonts w:ascii="Tahoma" w:hAnsi="Tahoma" w:cs="Tahoma"/>
          <w:sz w:val="24"/>
          <w:szCs w:val="24"/>
        </w:rPr>
        <w:t xml:space="preserve">, </w:t>
      </w:r>
      <w:r w:rsidR="00610A16">
        <w:rPr>
          <w:rFonts w:ascii="Tahoma" w:hAnsi="Tahoma" w:cs="Tahoma"/>
          <w:sz w:val="24"/>
          <w:szCs w:val="24"/>
        </w:rPr>
        <w:t xml:space="preserve">ante </w:t>
      </w:r>
      <w:r w:rsidR="00610A16" w:rsidRPr="00610A16">
        <w:rPr>
          <w:rFonts w:ascii="Tahoma" w:hAnsi="Tahoma" w:cs="Tahoma"/>
          <w:sz w:val="24"/>
          <w:szCs w:val="24"/>
        </w:rPr>
        <w:t>el imperio de la regla general de estricto derecho, como previsión constitucional encaminada</w:t>
      </w:r>
      <w:r w:rsidR="00610A16">
        <w:rPr>
          <w:rFonts w:ascii="Tahoma" w:hAnsi="Tahoma" w:cs="Tahoma"/>
          <w:sz w:val="24"/>
          <w:szCs w:val="24"/>
        </w:rPr>
        <w:t xml:space="preserve"> </w:t>
      </w:r>
      <w:r w:rsidR="00610A16" w:rsidRPr="00610A16">
        <w:rPr>
          <w:rFonts w:ascii="Tahoma" w:hAnsi="Tahoma" w:cs="Tahoma"/>
          <w:sz w:val="24"/>
          <w:szCs w:val="24"/>
        </w:rPr>
        <w:t>a asegurar, en condiciones ordinarias en el procedimiento, la imparcialidad del órgano</w:t>
      </w:r>
      <w:r w:rsidR="00610A16">
        <w:rPr>
          <w:rFonts w:ascii="Tahoma" w:hAnsi="Tahoma" w:cs="Tahoma"/>
          <w:sz w:val="24"/>
          <w:szCs w:val="24"/>
        </w:rPr>
        <w:t xml:space="preserve"> </w:t>
      </w:r>
      <w:r w:rsidR="00610A16" w:rsidRPr="00610A16">
        <w:rPr>
          <w:rFonts w:ascii="Tahoma" w:hAnsi="Tahoma" w:cs="Tahoma"/>
          <w:sz w:val="24"/>
          <w:szCs w:val="24"/>
        </w:rPr>
        <w:t xml:space="preserve">de control y </w:t>
      </w:r>
      <w:r w:rsidR="00610A16" w:rsidRPr="001372F3">
        <w:rPr>
          <w:rFonts w:ascii="Tahoma" w:hAnsi="Tahoma" w:cs="Tahoma"/>
          <w:sz w:val="24"/>
          <w:szCs w:val="24"/>
        </w:rPr>
        <w:t>la igualdad de trato hacia las partes, cuando no concurre un motivo que excepcionalmente permita suplir la deficiencia de</w:t>
      </w:r>
      <w:r w:rsidR="00610A16" w:rsidRPr="00610A16">
        <w:rPr>
          <w:rFonts w:ascii="Tahoma" w:hAnsi="Tahoma" w:cs="Tahoma"/>
          <w:sz w:val="24"/>
          <w:szCs w:val="24"/>
        </w:rPr>
        <w:t xml:space="preserve"> la queja en los términos establecidos en la Ley</w:t>
      </w:r>
      <w:r w:rsidR="00610A16">
        <w:rPr>
          <w:rFonts w:ascii="Tahoma" w:hAnsi="Tahoma" w:cs="Tahoma"/>
          <w:sz w:val="24"/>
          <w:szCs w:val="24"/>
        </w:rPr>
        <w:t xml:space="preserve"> </w:t>
      </w:r>
      <w:r w:rsidR="00610A16" w:rsidRPr="00610A16">
        <w:rPr>
          <w:rFonts w:ascii="Tahoma" w:hAnsi="Tahoma" w:cs="Tahoma"/>
          <w:sz w:val="24"/>
          <w:szCs w:val="24"/>
        </w:rPr>
        <w:t xml:space="preserve">de Amparo y tampoco se advierte sospecha de </w:t>
      </w:r>
      <w:r w:rsidR="00610A16" w:rsidRPr="00D162DB">
        <w:rPr>
          <w:rFonts w:ascii="Tahoma" w:hAnsi="Tahoma" w:cs="Tahoma"/>
          <w:sz w:val="24"/>
          <w:szCs w:val="24"/>
          <w:u w:val="single"/>
        </w:rPr>
        <w:t>disconformidad constitucional o convencional de una norma aplic</w:t>
      </w:r>
      <w:r>
        <w:rPr>
          <w:rFonts w:ascii="Tahoma" w:hAnsi="Tahoma" w:cs="Tahoma"/>
          <w:sz w:val="24"/>
          <w:szCs w:val="24"/>
          <w:u w:val="single"/>
        </w:rPr>
        <w:t xml:space="preserve">ada en perjuicio del quejoso; </w:t>
      </w:r>
      <w:r w:rsidR="00610A16" w:rsidRPr="00D162DB">
        <w:rPr>
          <w:rFonts w:ascii="Tahoma" w:hAnsi="Tahoma" w:cs="Tahoma"/>
          <w:sz w:val="24"/>
          <w:szCs w:val="24"/>
          <w:u w:val="single"/>
        </w:rPr>
        <w:t xml:space="preserve">no constituye, en sí mismo, una violación pues, en todo caso, el justiciable estuvo en aptitud de efectuar el planteamiento respectivo ante la jurisdicción constitucional, cumpliendo con los parámetros mínimos requeridos, sin que lo hubiese hecho. </w:t>
      </w:r>
    </w:p>
    <w:p w:rsidR="005E3707" w:rsidRDefault="005E3707" w:rsidP="005E3707">
      <w:pPr>
        <w:spacing w:after="0" w:line="276" w:lineRule="auto"/>
        <w:jc w:val="both"/>
        <w:rPr>
          <w:rFonts w:ascii="Tahoma" w:hAnsi="Tahoma" w:cs="Tahoma"/>
          <w:sz w:val="24"/>
          <w:szCs w:val="24"/>
        </w:rPr>
      </w:pPr>
    </w:p>
    <w:p w:rsidR="0042114D" w:rsidRDefault="00D162DB" w:rsidP="005E3707">
      <w:pPr>
        <w:spacing w:after="0" w:line="276" w:lineRule="auto"/>
        <w:jc w:val="both"/>
        <w:rPr>
          <w:rFonts w:ascii="Tahoma" w:hAnsi="Tahoma" w:cs="Tahoma"/>
          <w:sz w:val="24"/>
          <w:szCs w:val="24"/>
        </w:rPr>
      </w:pPr>
      <w:r>
        <w:rPr>
          <w:rFonts w:ascii="Tahoma" w:hAnsi="Tahoma" w:cs="Tahoma"/>
          <w:sz w:val="24"/>
          <w:szCs w:val="24"/>
        </w:rPr>
        <w:t>A partir de las afirmaciones en la Tesis de Jurisprudencia citada y</w:t>
      </w:r>
      <w:r w:rsidR="00610A16">
        <w:rPr>
          <w:rFonts w:ascii="Tahoma" w:hAnsi="Tahoma" w:cs="Tahoma"/>
          <w:sz w:val="24"/>
          <w:szCs w:val="24"/>
        </w:rPr>
        <w:t xml:space="preserve">, desde la óptica de un servidor, </w:t>
      </w:r>
      <w:r>
        <w:rPr>
          <w:rFonts w:ascii="Tahoma" w:hAnsi="Tahoma" w:cs="Tahoma"/>
          <w:sz w:val="24"/>
          <w:szCs w:val="24"/>
        </w:rPr>
        <w:t xml:space="preserve">no se debe </w:t>
      </w:r>
      <w:r w:rsidR="00610A16">
        <w:rPr>
          <w:rFonts w:ascii="Tahoma" w:hAnsi="Tahoma" w:cs="Tahoma"/>
          <w:sz w:val="24"/>
          <w:szCs w:val="24"/>
        </w:rPr>
        <w:t xml:space="preserve">añadir a la </w:t>
      </w:r>
      <w:r>
        <w:rPr>
          <w:rFonts w:ascii="Tahoma" w:hAnsi="Tahoma" w:cs="Tahoma"/>
          <w:i/>
          <w:sz w:val="24"/>
          <w:szCs w:val="24"/>
        </w:rPr>
        <w:t xml:space="preserve">Litis </w:t>
      </w:r>
      <w:r w:rsidRPr="00D162DB">
        <w:rPr>
          <w:rFonts w:ascii="Tahoma" w:hAnsi="Tahoma" w:cs="Tahoma"/>
          <w:sz w:val="24"/>
          <w:szCs w:val="24"/>
        </w:rPr>
        <w:t>de la presente resolución</w:t>
      </w:r>
      <w:r w:rsidR="004817AD">
        <w:rPr>
          <w:rFonts w:ascii="Tahoma" w:hAnsi="Tahoma" w:cs="Tahoma"/>
          <w:sz w:val="24"/>
          <w:szCs w:val="24"/>
        </w:rPr>
        <w:t>,</w:t>
      </w:r>
      <w:r w:rsidR="00610A16">
        <w:rPr>
          <w:rFonts w:ascii="Tahoma" w:hAnsi="Tahoma" w:cs="Tahoma"/>
          <w:sz w:val="24"/>
          <w:szCs w:val="24"/>
        </w:rPr>
        <w:t xml:space="preserve"> cuestiones que no fueron motivo de reclamo, </w:t>
      </w:r>
      <w:r>
        <w:rPr>
          <w:rFonts w:ascii="Tahoma" w:hAnsi="Tahoma" w:cs="Tahoma"/>
          <w:sz w:val="24"/>
          <w:szCs w:val="24"/>
        </w:rPr>
        <w:t xml:space="preserve">toda vez que </w:t>
      </w:r>
      <w:r w:rsidR="00610A16">
        <w:rPr>
          <w:rFonts w:ascii="Tahoma" w:hAnsi="Tahoma" w:cs="Tahoma"/>
          <w:sz w:val="24"/>
          <w:szCs w:val="24"/>
        </w:rPr>
        <w:t>el recurrente c</w:t>
      </w:r>
      <w:r>
        <w:rPr>
          <w:rFonts w:ascii="Tahoma" w:hAnsi="Tahoma" w:cs="Tahoma"/>
          <w:sz w:val="24"/>
          <w:szCs w:val="24"/>
        </w:rPr>
        <w:t>ontó</w:t>
      </w:r>
      <w:r w:rsidR="00610A16">
        <w:rPr>
          <w:rFonts w:ascii="Tahoma" w:hAnsi="Tahoma" w:cs="Tahoma"/>
          <w:sz w:val="24"/>
          <w:szCs w:val="24"/>
        </w:rPr>
        <w:t xml:space="preserve"> con garantías para hacer valer</w:t>
      </w:r>
      <w:r>
        <w:rPr>
          <w:rFonts w:ascii="Tahoma" w:hAnsi="Tahoma" w:cs="Tahoma"/>
          <w:sz w:val="24"/>
          <w:szCs w:val="24"/>
        </w:rPr>
        <w:t xml:space="preserve"> su inconformidad</w:t>
      </w:r>
      <w:r w:rsidR="00610A16">
        <w:rPr>
          <w:rFonts w:ascii="Tahoma" w:hAnsi="Tahoma" w:cs="Tahoma"/>
          <w:sz w:val="24"/>
          <w:szCs w:val="24"/>
        </w:rPr>
        <w:t xml:space="preserve">, como el recurso de revisión en materia de </w:t>
      </w:r>
      <w:r w:rsidR="00610A16">
        <w:rPr>
          <w:rFonts w:ascii="Tahoma" w:hAnsi="Tahoma" w:cs="Tahoma"/>
          <w:sz w:val="24"/>
          <w:szCs w:val="24"/>
        </w:rPr>
        <w:lastRenderedPageBreak/>
        <w:t>transparencia y un tiempo razonable</w:t>
      </w:r>
      <w:r w:rsidR="0042114D">
        <w:rPr>
          <w:rFonts w:ascii="Tahoma" w:hAnsi="Tahoma" w:cs="Tahoma"/>
          <w:sz w:val="24"/>
          <w:szCs w:val="24"/>
        </w:rPr>
        <w:t xml:space="preserve"> para presentar el</w:t>
      </w:r>
      <w:r w:rsidR="00610A16">
        <w:rPr>
          <w:rFonts w:ascii="Tahoma" w:hAnsi="Tahoma" w:cs="Tahoma"/>
          <w:sz w:val="24"/>
          <w:szCs w:val="24"/>
        </w:rPr>
        <w:t xml:space="preserve"> medio de impugnación ante una autoridad </w:t>
      </w:r>
      <w:r>
        <w:rPr>
          <w:rFonts w:ascii="Tahoma" w:hAnsi="Tahoma" w:cs="Tahoma"/>
          <w:sz w:val="24"/>
          <w:szCs w:val="24"/>
        </w:rPr>
        <w:t>especializada</w:t>
      </w:r>
      <w:r w:rsidR="00610A16">
        <w:rPr>
          <w:rFonts w:ascii="Tahoma" w:hAnsi="Tahoma" w:cs="Tahoma"/>
          <w:sz w:val="24"/>
          <w:szCs w:val="24"/>
        </w:rPr>
        <w:t xml:space="preserve">, </w:t>
      </w:r>
      <w:r w:rsidR="0042114D">
        <w:rPr>
          <w:rFonts w:ascii="Tahoma" w:hAnsi="Tahoma" w:cs="Tahoma"/>
          <w:sz w:val="24"/>
          <w:szCs w:val="24"/>
        </w:rPr>
        <w:t>como lo e</w:t>
      </w:r>
      <w:r>
        <w:rPr>
          <w:rFonts w:ascii="Tahoma" w:hAnsi="Tahoma" w:cs="Tahoma"/>
          <w:sz w:val="24"/>
          <w:szCs w:val="24"/>
        </w:rPr>
        <w:t>s este Instituto</w:t>
      </w:r>
      <w:r w:rsidR="00281E80">
        <w:rPr>
          <w:rFonts w:ascii="Tahoma" w:hAnsi="Tahoma" w:cs="Tahoma"/>
          <w:sz w:val="24"/>
          <w:szCs w:val="24"/>
        </w:rPr>
        <w:t>, por lo que</w:t>
      </w:r>
      <w:r w:rsidR="0042114D">
        <w:rPr>
          <w:rFonts w:ascii="Tahoma" w:hAnsi="Tahoma" w:cs="Tahoma"/>
          <w:sz w:val="24"/>
          <w:szCs w:val="24"/>
        </w:rPr>
        <w:t xml:space="preserve"> el hecho de que esta autoridad resolutoria no analice la respuesta a los puntos de la solicitud que no fueron motivo de agravio por parte del recurrente, no violenta el derecho humano previsto por el artículo 6° de la Constitución Política de los Estados Unidos Mexicanos y 5° de la Constitución del Estado Libre y Soberano de México</w:t>
      </w:r>
      <w:r w:rsidR="00281E80">
        <w:rPr>
          <w:rFonts w:ascii="Tahoma" w:hAnsi="Tahoma" w:cs="Tahoma"/>
          <w:sz w:val="24"/>
          <w:szCs w:val="24"/>
        </w:rPr>
        <w:t>; lo anterior es así, en virtud de que</w:t>
      </w:r>
      <w:r w:rsidR="0042114D">
        <w:rPr>
          <w:rFonts w:ascii="Tahoma" w:hAnsi="Tahoma" w:cs="Tahoma"/>
          <w:sz w:val="24"/>
          <w:szCs w:val="24"/>
        </w:rPr>
        <w:t xml:space="preserve"> el actor manifest</w:t>
      </w:r>
      <w:r w:rsidR="00281E80">
        <w:rPr>
          <w:rFonts w:ascii="Tahoma" w:hAnsi="Tahoma" w:cs="Tahoma"/>
          <w:sz w:val="24"/>
          <w:szCs w:val="24"/>
        </w:rPr>
        <w:t>ó</w:t>
      </w:r>
      <w:r w:rsidR="0042114D">
        <w:rPr>
          <w:rFonts w:ascii="Tahoma" w:hAnsi="Tahoma" w:cs="Tahoma"/>
          <w:sz w:val="24"/>
          <w:szCs w:val="24"/>
        </w:rPr>
        <w:t xml:space="preserve"> únicamente inconformidad con </w:t>
      </w:r>
      <w:r w:rsidR="00625B4D" w:rsidRPr="00625B4D">
        <w:rPr>
          <w:rFonts w:ascii="Tahoma" w:hAnsi="Tahoma" w:cs="Tahoma"/>
          <w:sz w:val="24"/>
          <w:szCs w:val="24"/>
        </w:rPr>
        <w:t>lo que a su consideración era, la mala elaboración de la versión pública, ya que se suprimieron datos del emisor que son públicos y por la falta de entrega del acta del Comité de Transparencia en datos abiertos.</w:t>
      </w:r>
    </w:p>
    <w:p w:rsidR="005E3707" w:rsidRDefault="005E3707" w:rsidP="005E3707">
      <w:pPr>
        <w:spacing w:after="0" w:line="276" w:lineRule="auto"/>
        <w:jc w:val="both"/>
        <w:rPr>
          <w:rFonts w:ascii="Tahoma" w:hAnsi="Tahoma" w:cs="Tahoma"/>
          <w:sz w:val="24"/>
          <w:szCs w:val="24"/>
        </w:rPr>
      </w:pPr>
    </w:p>
    <w:p w:rsidR="00DF2F51" w:rsidRPr="00442534" w:rsidRDefault="00DF2F51" w:rsidP="00032450">
      <w:pPr>
        <w:spacing w:after="0" w:line="276" w:lineRule="auto"/>
        <w:jc w:val="both"/>
        <w:rPr>
          <w:rFonts w:ascii="Tahoma" w:hAnsi="Tahoma" w:cs="Tahoma"/>
          <w:sz w:val="24"/>
          <w:szCs w:val="24"/>
        </w:rPr>
      </w:pPr>
      <w:r>
        <w:rPr>
          <w:rFonts w:ascii="Tahoma" w:hAnsi="Tahoma" w:cs="Tahoma"/>
          <w:sz w:val="24"/>
          <w:szCs w:val="24"/>
        </w:rPr>
        <w:t xml:space="preserve">Ahora bien, por lo que hace a la justificación de añadir a la </w:t>
      </w:r>
      <w:r w:rsidR="00442534">
        <w:rPr>
          <w:rFonts w:ascii="Tahoma" w:hAnsi="Tahoma" w:cs="Tahoma"/>
          <w:i/>
          <w:sz w:val="24"/>
          <w:szCs w:val="24"/>
        </w:rPr>
        <w:t>l</w:t>
      </w:r>
      <w:r w:rsidRPr="00442534">
        <w:rPr>
          <w:rFonts w:ascii="Tahoma" w:hAnsi="Tahoma" w:cs="Tahoma"/>
          <w:i/>
          <w:sz w:val="24"/>
          <w:szCs w:val="24"/>
        </w:rPr>
        <w:t>itis</w:t>
      </w:r>
      <w:r>
        <w:rPr>
          <w:rFonts w:ascii="Tahoma" w:hAnsi="Tahoma" w:cs="Tahoma"/>
          <w:sz w:val="24"/>
          <w:szCs w:val="24"/>
        </w:rPr>
        <w:t xml:space="preserve"> cuestiones que no fueron señaladas por el recurrente, con base en la suplencia de la queja, la Tesis </w:t>
      </w:r>
      <w:r w:rsidR="00442534">
        <w:rPr>
          <w:rFonts w:ascii="Tahoma" w:hAnsi="Tahoma" w:cs="Tahoma"/>
          <w:sz w:val="24"/>
          <w:szCs w:val="24"/>
        </w:rPr>
        <w:t>de Jurisprudencia “</w:t>
      </w:r>
      <w:r w:rsidR="00442534" w:rsidRPr="00442534">
        <w:rPr>
          <w:rFonts w:ascii="Tahoma" w:hAnsi="Tahoma" w:cs="Tahoma"/>
          <w:sz w:val="24"/>
          <w:szCs w:val="24"/>
        </w:rPr>
        <w:t>SUPLENCIA DE LA QUEJA DEFICIENTE EN EL JUICIO DE AMPARO. DEBE ANALIZARSE ACORDE CON EL MARCO SOBRE DERECHOS HUMANOS RESGUARDADO POR EL ARTÍCULO 1o. DE LA CONSTITUCIÓN POLÍTICA DE LOS ESTADOS UNIDOS MEXICANOS, A PARTIR DE LA REFORMA PUBLICADA EN EL DIARIO OFICIAL DE LA FEDERACIÓN EL 10 DE JUNIO DE 2011.</w:t>
      </w:r>
      <w:r w:rsidR="00442534">
        <w:rPr>
          <w:rFonts w:ascii="Tahoma" w:hAnsi="Tahoma" w:cs="Tahoma"/>
          <w:sz w:val="24"/>
          <w:szCs w:val="24"/>
        </w:rPr>
        <w:t xml:space="preserve">” (Semanario Judicial de la Federación, Décima </w:t>
      </w:r>
      <w:r w:rsidR="00442534" w:rsidRPr="00442534">
        <w:rPr>
          <w:rFonts w:ascii="Tahoma" w:hAnsi="Tahoma" w:cs="Tahoma"/>
          <w:caps/>
          <w:sz w:val="24"/>
          <w:szCs w:val="24"/>
        </w:rPr>
        <w:t>é</w:t>
      </w:r>
      <w:r w:rsidR="00442534">
        <w:rPr>
          <w:rFonts w:ascii="Tahoma" w:hAnsi="Tahoma" w:cs="Tahoma"/>
          <w:sz w:val="24"/>
          <w:szCs w:val="24"/>
        </w:rPr>
        <w:t>poca, Diciembre 2015),</w:t>
      </w:r>
      <w:r>
        <w:rPr>
          <w:rFonts w:ascii="Tahoma" w:hAnsi="Tahoma" w:cs="Tahoma"/>
          <w:sz w:val="24"/>
          <w:szCs w:val="24"/>
        </w:rPr>
        <w:t xml:space="preserve"> expone que </w:t>
      </w:r>
      <w:r w:rsidRPr="00DF2F51">
        <w:rPr>
          <w:rFonts w:ascii="Tahoma" w:hAnsi="Tahoma" w:cs="Tahoma"/>
          <w:sz w:val="24"/>
          <w:szCs w:val="24"/>
        </w:rPr>
        <w:t xml:space="preserve">el principio de suplencia de la queja deficiente en el juicio de amparo se erige como una institución de capital importancia dentro de nuestro sistema jurídico, con características particulares, </w:t>
      </w:r>
      <w:r w:rsidRPr="00442534">
        <w:rPr>
          <w:rFonts w:ascii="Tahoma" w:hAnsi="Tahoma" w:cs="Tahoma"/>
          <w:sz w:val="24"/>
          <w:szCs w:val="24"/>
        </w:rPr>
        <w:t>con el fin de impedir la denegación de justicia por razones de carácter meramente técnico-jurídicas;</w:t>
      </w:r>
      <w:r w:rsidRPr="00DF2F51">
        <w:rPr>
          <w:rFonts w:ascii="Tahoma" w:hAnsi="Tahoma" w:cs="Tahoma"/>
          <w:sz w:val="24"/>
          <w:szCs w:val="24"/>
        </w:rPr>
        <w:t xml:space="preserve"> por ello, dicha institución debe analizarse desde la perspectiva </w:t>
      </w:r>
      <w:r w:rsidR="00442534">
        <w:rPr>
          <w:rFonts w:ascii="Tahoma" w:hAnsi="Tahoma" w:cs="Tahoma"/>
          <w:sz w:val="24"/>
          <w:szCs w:val="24"/>
        </w:rPr>
        <w:t>constitucional y legal nacional</w:t>
      </w:r>
      <w:r w:rsidRPr="00DF2F51">
        <w:rPr>
          <w:rFonts w:ascii="Tahoma" w:hAnsi="Tahoma" w:cs="Tahoma"/>
          <w:sz w:val="24"/>
          <w:szCs w:val="24"/>
        </w:rPr>
        <w:t xml:space="preserve"> y</w:t>
      </w:r>
      <w:r w:rsidR="00442534">
        <w:rPr>
          <w:rFonts w:ascii="Tahoma" w:hAnsi="Tahoma" w:cs="Tahoma"/>
          <w:sz w:val="24"/>
          <w:szCs w:val="24"/>
        </w:rPr>
        <w:t>,</w:t>
      </w:r>
      <w:r w:rsidRPr="00DF2F51">
        <w:rPr>
          <w:rFonts w:ascii="Tahoma" w:hAnsi="Tahoma" w:cs="Tahoma"/>
          <w:sz w:val="24"/>
          <w:szCs w:val="24"/>
        </w:rPr>
        <w:t xml:space="preserve"> es en función de ese examen interno como debe contrastarse si efectivamente tal principio </w:t>
      </w:r>
      <w:r w:rsidRPr="00442534">
        <w:rPr>
          <w:rFonts w:ascii="Tahoma" w:hAnsi="Tahoma" w:cs="Tahoma"/>
          <w:sz w:val="24"/>
          <w:szCs w:val="24"/>
        </w:rPr>
        <w:t>satisface el mandato universal de igualdad</w:t>
      </w:r>
      <w:r w:rsidR="0069724B" w:rsidRPr="00442534">
        <w:rPr>
          <w:rFonts w:ascii="Tahoma" w:hAnsi="Tahoma" w:cs="Tahoma"/>
          <w:sz w:val="24"/>
          <w:szCs w:val="24"/>
        </w:rPr>
        <w:t>.</w:t>
      </w:r>
    </w:p>
    <w:p w:rsidR="00DF2F51" w:rsidRDefault="00DF2F51" w:rsidP="00032450">
      <w:pPr>
        <w:spacing w:after="0" w:line="276" w:lineRule="auto"/>
        <w:jc w:val="both"/>
        <w:rPr>
          <w:rFonts w:ascii="Tahoma" w:hAnsi="Tahoma" w:cs="Tahoma"/>
          <w:sz w:val="24"/>
          <w:szCs w:val="24"/>
        </w:rPr>
      </w:pPr>
    </w:p>
    <w:p w:rsidR="0069724B" w:rsidRPr="002329E7" w:rsidRDefault="0069724B" w:rsidP="00032450">
      <w:pPr>
        <w:spacing w:after="0" w:line="276" w:lineRule="auto"/>
        <w:jc w:val="both"/>
        <w:rPr>
          <w:rFonts w:ascii="Tahoma" w:hAnsi="Tahoma" w:cs="Tahoma"/>
          <w:sz w:val="24"/>
          <w:szCs w:val="24"/>
        </w:rPr>
      </w:pPr>
      <w:r w:rsidRPr="002329E7">
        <w:rPr>
          <w:rFonts w:ascii="Tahoma" w:hAnsi="Tahoma" w:cs="Tahoma"/>
          <w:sz w:val="24"/>
          <w:szCs w:val="24"/>
        </w:rPr>
        <w:t>Así, con base en lo anterior, se puede colegir que la suplencia de la queja, bajo el principio pro- persona, tiene como finalidad evitar la desigualdad entre las partes en conflicto, a través de corregir los errores o deficiencias en que incurran los reclamantes</w:t>
      </w:r>
      <w:r w:rsidR="002329E7" w:rsidRPr="002329E7">
        <w:rPr>
          <w:rFonts w:ascii="Tahoma" w:hAnsi="Tahoma" w:cs="Tahoma"/>
          <w:sz w:val="24"/>
          <w:szCs w:val="24"/>
        </w:rPr>
        <w:t xml:space="preserve">; no así introducir a la </w:t>
      </w:r>
      <w:r w:rsidR="002329E7" w:rsidRPr="002329E7">
        <w:rPr>
          <w:rFonts w:ascii="Tahoma" w:hAnsi="Tahoma" w:cs="Tahoma"/>
          <w:i/>
          <w:sz w:val="24"/>
          <w:szCs w:val="24"/>
        </w:rPr>
        <w:t>l</w:t>
      </w:r>
      <w:r w:rsidRPr="002329E7">
        <w:rPr>
          <w:rFonts w:ascii="Tahoma" w:hAnsi="Tahoma" w:cs="Tahoma"/>
          <w:i/>
          <w:sz w:val="24"/>
          <w:szCs w:val="24"/>
        </w:rPr>
        <w:t>itis</w:t>
      </w:r>
      <w:r w:rsidRPr="002329E7">
        <w:rPr>
          <w:rFonts w:ascii="Tahoma" w:hAnsi="Tahoma" w:cs="Tahoma"/>
          <w:sz w:val="24"/>
          <w:szCs w:val="24"/>
        </w:rPr>
        <w:t xml:space="preserve"> aspectos que no fueron motivos de agravio, pues como ya se expuso, el recurrente cuenta con todos los mecanismos que le garantizan su defensa ante el acto emitido por el </w:t>
      </w:r>
      <w:r w:rsidR="004F1B7F" w:rsidRPr="002329E7">
        <w:rPr>
          <w:rFonts w:ascii="Tahoma" w:hAnsi="Tahoma" w:cs="Tahoma"/>
          <w:sz w:val="24"/>
          <w:szCs w:val="24"/>
        </w:rPr>
        <w:t>Sujeto Obligado</w:t>
      </w:r>
      <w:r w:rsidRPr="002329E7">
        <w:rPr>
          <w:rFonts w:ascii="Tahoma" w:hAnsi="Tahoma" w:cs="Tahoma"/>
          <w:sz w:val="24"/>
          <w:szCs w:val="24"/>
        </w:rPr>
        <w:t xml:space="preserve">, tan es así que interpuso el recurso de revisión ante este Instituto, quejándose únicamente de la </w:t>
      </w:r>
      <w:r w:rsidR="00625B4D" w:rsidRPr="00625B4D">
        <w:rPr>
          <w:rFonts w:ascii="Tahoma" w:hAnsi="Tahoma" w:cs="Tahoma"/>
          <w:sz w:val="24"/>
          <w:szCs w:val="24"/>
        </w:rPr>
        <w:lastRenderedPageBreak/>
        <w:t>mala elaboración de la versión pública, ya que se suprimieron da</w:t>
      </w:r>
      <w:r w:rsidR="007A1917">
        <w:rPr>
          <w:rFonts w:ascii="Tahoma" w:hAnsi="Tahoma" w:cs="Tahoma"/>
          <w:sz w:val="24"/>
          <w:szCs w:val="24"/>
        </w:rPr>
        <w:t>tos del emisor que son públicos</w:t>
      </w:r>
      <w:r w:rsidR="00625B4D" w:rsidRPr="00625B4D">
        <w:rPr>
          <w:rFonts w:ascii="Tahoma" w:hAnsi="Tahoma" w:cs="Tahoma"/>
          <w:sz w:val="24"/>
          <w:szCs w:val="24"/>
        </w:rPr>
        <w:t xml:space="preserve"> y por la falta de entrega del acta del Comité de Transparencia en datos abiertos.</w:t>
      </w:r>
    </w:p>
    <w:p w:rsidR="0069724B" w:rsidRDefault="0069724B" w:rsidP="00032450">
      <w:pPr>
        <w:spacing w:after="0" w:line="276" w:lineRule="auto"/>
        <w:jc w:val="both"/>
        <w:rPr>
          <w:rFonts w:ascii="Tahoma" w:hAnsi="Tahoma" w:cs="Tahoma"/>
          <w:sz w:val="24"/>
          <w:szCs w:val="24"/>
        </w:rPr>
      </w:pPr>
    </w:p>
    <w:p w:rsidR="00625B4D" w:rsidRDefault="00625B4D" w:rsidP="00032450">
      <w:pPr>
        <w:spacing w:after="0" w:line="276" w:lineRule="auto"/>
        <w:jc w:val="both"/>
        <w:rPr>
          <w:rFonts w:ascii="Tahoma" w:hAnsi="Tahoma" w:cs="Tahoma"/>
          <w:sz w:val="24"/>
          <w:szCs w:val="24"/>
        </w:rPr>
      </w:pPr>
      <w:r w:rsidRPr="00625B4D">
        <w:rPr>
          <w:rFonts w:ascii="Tahoma" w:hAnsi="Tahoma" w:cs="Tahoma"/>
          <w:sz w:val="24"/>
          <w:szCs w:val="24"/>
        </w:rPr>
        <w:t xml:space="preserve">Finalmente, por lo que hace al análisis efectuado en la resolución, relativo a la versión pública de los recibos de nómina, toda vez que dicho acto </w:t>
      </w:r>
      <w:r>
        <w:rPr>
          <w:rFonts w:ascii="Tahoma" w:hAnsi="Tahoma" w:cs="Tahoma"/>
          <w:sz w:val="24"/>
          <w:szCs w:val="24"/>
        </w:rPr>
        <w:t xml:space="preserve">sí </w:t>
      </w:r>
      <w:r w:rsidRPr="00625B4D">
        <w:rPr>
          <w:rFonts w:ascii="Tahoma" w:hAnsi="Tahoma" w:cs="Tahoma"/>
          <w:sz w:val="24"/>
          <w:szCs w:val="24"/>
        </w:rPr>
        <w:t>fue motivo de agravio por parte del particular, considero que merecía un estudio exhaustivo que diera cuenta de los datos clasificados en los documentos proporcionados y expusiera los motivos y fundamentos que dan a cada uno de los datos, el carácter de confidencial. Para así, brindarle certeza al particular sobre la correcta o incorrecta elaboración de la versión pública.</w:t>
      </w:r>
    </w:p>
    <w:p w:rsidR="0052303C" w:rsidRDefault="0052303C" w:rsidP="00032450">
      <w:pPr>
        <w:spacing w:after="0" w:line="276" w:lineRule="auto"/>
        <w:jc w:val="both"/>
        <w:rPr>
          <w:rFonts w:ascii="Tahoma" w:hAnsi="Tahoma" w:cs="Tahoma"/>
          <w:sz w:val="24"/>
          <w:szCs w:val="24"/>
        </w:rPr>
      </w:pPr>
    </w:p>
    <w:p w:rsidR="0052303C" w:rsidRDefault="0052303C" w:rsidP="00032450">
      <w:pPr>
        <w:spacing w:after="0" w:line="276" w:lineRule="auto"/>
        <w:jc w:val="both"/>
        <w:rPr>
          <w:rFonts w:ascii="Tahoma" w:hAnsi="Tahoma" w:cs="Tahoma"/>
          <w:sz w:val="24"/>
          <w:szCs w:val="24"/>
        </w:rPr>
      </w:pPr>
      <w:r>
        <w:rPr>
          <w:rFonts w:ascii="Tahoma" w:hAnsi="Tahoma" w:cs="Tahoma"/>
          <w:sz w:val="24"/>
          <w:szCs w:val="24"/>
        </w:rPr>
        <w:t>Asimismo, era necesario pronunciarse sobre la pertinencia u obligación de entregar el acuerdo del Comité de Transparencia en un formato de datos abiertos</w:t>
      </w:r>
      <w:r w:rsidR="006F7877">
        <w:rPr>
          <w:rFonts w:ascii="Tahoma" w:hAnsi="Tahoma" w:cs="Tahoma"/>
          <w:sz w:val="24"/>
          <w:szCs w:val="24"/>
        </w:rPr>
        <w:t xml:space="preserve"> desde la etapa de respuesta al particular</w:t>
      </w:r>
      <w:r>
        <w:rPr>
          <w:rFonts w:ascii="Tahoma" w:hAnsi="Tahoma" w:cs="Tahoma"/>
          <w:sz w:val="24"/>
          <w:szCs w:val="24"/>
        </w:rPr>
        <w:t>.</w:t>
      </w:r>
    </w:p>
    <w:p w:rsidR="00625B4D" w:rsidRPr="001106EA" w:rsidRDefault="00625B4D" w:rsidP="00032450">
      <w:pPr>
        <w:spacing w:after="0" w:line="276" w:lineRule="auto"/>
        <w:jc w:val="both"/>
        <w:rPr>
          <w:rFonts w:ascii="Tahoma" w:hAnsi="Tahoma" w:cs="Tahoma"/>
          <w:sz w:val="24"/>
          <w:szCs w:val="24"/>
        </w:rPr>
      </w:pPr>
    </w:p>
    <w:p w:rsidR="0069724B" w:rsidRDefault="00B761B1" w:rsidP="00032450">
      <w:pPr>
        <w:spacing w:after="0" w:line="276" w:lineRule="auto"/>
        <w:jc w:val="both"/>
        <w:rPr>
          <w:rFonts w:ascii="Tahoma" w:hAnsi="Tahoma" w:cs="Tahoma"/>
          <w:sz w:val="24"/>
          <w:szCs w:val="24"/>
        </w:rPr>
      </w:pPr>
      <w:r w:rsidRPr="001106EA">
        <w:rPr>
          <w:rFonts w:ascii="Tahoma" w:hAnsi="Tahoma" w:cs="Tahoma"/>
          <w:sz w:val="24"/>
          <w:szCs w:val="24"/>
        </w:rPr>
        <w:t>Por las consideraciones ex</w:t>
      </w:r>
      <w:r w:rsidR="00742A15" w:rsidRPr="001106EA">
        <w:rPr>
          <w:rFonts w:ascii="Tahoma" w:hAnsi="Tahoma" w:cs="Tahoma"/>
          <w:sz w:val="24"/>
          <w:szCs w:val="24"/>
        </w:rPr>
        <w:t>puestas, concluy</w:t>
      </w:r>
      <w:r w:rsidR="002329E7">
        <w:rPr>
          <w:rFonts w:ascii="Tahoma" w:hAnsi="Tahoma" w:cs="Tahoma"/>
          <w:sz w:val="24"/>
          <w:szCs w:val="24"/>
        </w:rPr>
        <w:t>o</w:t>
      </w:r>
      <w:r w:rsidRPr="001106EA">
        <w:rPr>
          <w:rFonts w:ascii="Tahoma" w:hAnsi="Tahoma" w:cs="Tahoma"/>
          <w:sz w:val="24"/>
          <w:szCs w:val="24"/>
        </w:rPr>
        <w:t xml:space="preserve"> </w:t>
      </w:r>
      <w:r w:rsidR="002329E7">
        <w:rPr>
          <w:rFonts w:ascii="Tahoma" w:hAnsi="Tahoma" w:cs="Tahoma"/>
          <w:sz w:val="24"/>
          <w:szCs w:val="24"/>
        </w:rPr>
        <w:t>lo siguiente</w:t>
      </w:r>
      <w:r w:rsidR="0069724B">
        <w:rPr>
          <w:rFonts w:ascii="Tahoma" w:hAnsi="Tahoma" w:cs="Tahoma"/>
          <w:sz w:val="24"/>
          <w:szCs w:val="24"/>
        </w:rPr>
        <w:t>:</w:t>
      </w:r>
    </w:p>
    <w:p w:rsidR="0069724B" w:rsidRDefault="0069724B" w:rsidP="00032450">
      <w:pPr>
        <w:spacing w:after="0" w:line="276" w:lineRule="auto"/>
        <w:jc w:val="both"/>
        <w:rPr>
          <w:rFonts w:ascii="Tahoma" w:hAnsi="Tahoma" w:cs="Tahoma"/>
          <w:sz w:val="24"/>
          <w:szCs w:val="24"/>
        </w:rPr>
      </w:pPr>
    </w:p>
    <w:p w:rsidR="00B761B1" w:rsidRDefault="0069724B" w:rsidP="002329E7">
      <w:pPr>
        <w:pStyle w:val="Prrafodelista"/>
        <w:numPr>
          <w:ilvl w:val="0"/>
          <w:numId w:val="13"/>
        </w:numPr>
        <w:spacing w:after="0" w:line="276" w:lineRule="auto"/>
        <w:jc w:val="both"/>
        <w:rPr>
          <w:rFonts w:ascii="Tahoma" w:hAnsi="Tahoma" w:cs="Tahoma"/>
          <w:sz w:val="24"/>
          <w:szCs w:val="24"/>
        </w:rPr>
      </w:pPr>
      <w:r>
        <w:rPr>
          <w:rFonts w:ascii="Tahoma" w:hAnsi="Tahoma" w:cs="Tahoma"/>
          <w:sz w:val="24"/>
          <w:szCs w:val="24"/>
        </w:rPr>
        <w:t>E</w:t>
      </w:r>
      <w:r w:rsidR="00B761B1" w:rsidRPr="0069724B">
        <w:rPr>
          <w:rFonts w:ascii="Tahoma" w:hAnsi="Tahoma" w:cs="Tahoma"/>
          <w:sz w:val="24"/>
          <w:szCs w:val="24"/>
        </w:rPr>
        <w:t xml:space="preserve">n el presente caso, aplicaba la figura del </w:t>
      </w:r>
      <w:r w:rsidR="00B761B1" w:rsidRPr="0069724B">
        <w:rPr>
          <w:rFonts w:ascii="Tahoma" w:hAnsi="Tahoma" w:cs="Tahoma"/>
          <w:b/>
          <w:sz w:val="24"/>
          <w:szCs w:val="24"/>
        </w:rPr>
        <w:t xml:space="preserve">consentimiento tácito </w:t>
      </w:r>
      <w:r w:rsidR="00B761B1" w:rsidRPr="0069724B">
        <w:rPr>
          <w:rFonts w:ascii="Tahoma" w:hAnsi="Tahoma" w:cs="Tahoma"/>
          <w:sz w:val="24"/>
          <w:szCs w:val="24"/>
        </w:rPr>
        <w:t xml:space="preserve">y por lo tanto, no se </w:t>
      </w:r>
      <w:r>
        <w:rPr>
          <w:rFonts w:ascii="Tahoma" w:hAnsi="Tahoma" w:cs="Tahoma"/>
          <w:sz w:val="24"/>
          <w:szCs w:val="24"/>
        </w:rPr>
        <w:t>debió analizar la respuesta otorgada a los puntos de la solicitud que no fueron motivo de agravio;</w:t>
      </w:r>
    </w:p>
    <w:p w:rsidR="0052303C" w:rsidRDefault="0052303C" w:rsidP="0052303C">
      <w:pPr>
        <w:pStyle w:val="Prrafodelista"/>
        <w:spacing w:after="0" w:line="276" w:lineRule="auto"/>
        <w:jc w:val="both"/>
        <w:rPr>
          <w:rFonts w:ascii="Tahoma" w:hAnsi="Tahoma" w:cs="Tahoma"/>
          <w:sz w:val="24"/>
          <w:szCs w:val="24"/>
        </w:rPr>
      </w:pPr>
    </w:p>
    <w:p w:rsidR="005C73EE" w:rsidRDefault="0069724B" w:rsidP="002329E7">
      <w:pPr>
        <w:pStyle w:val="Prrafodelista"/>
        <w:numPr>
          <w:ilvl w:val="0"/>
          <w:numId w:val="13"/>
        </w:numPr>
        <w:spacing w:after="0" w:line="276" w:lineRule="auto"/>
        <w:jc w:val="both"/>
        <w:rPr>
          <w:rFonts w:ascii="Tahoma" w:hAnsi="Tahoma" w:cs="Tahoma"/>
          <w:sz w:val="24"/>
          <w:szCs w:val="24"/>
        </w:rPr>
      </w:pPr>
      <w:r w:rsidRPr="0069724B">
        <w:rPr>
          <w:rFonts w:ascii="Tahoma" w:hAnsi="Tahoma" w:cs="Tahoma"/>
          <w:sz w:val="24"/>
          <w:szCs w:val="24"/>
        </w:rPr>
        <w:t xml:space="preserve">Que el principio pro persona </w:t>
      </w:r>
      <w:r>
        <w:rPr>
          <w:rFonts w:ascii="Tahoma" w:hAnsi="Tahoma" w:cs="Tahoma"/>
          <w:sz w:val="24"/>
          <w:szCs w:val="24"/>
        </w:rPr>
        <w:t xml:space="preserve">no opera </w:t>
      </w:r>
      <w:r w:rsidR="002329E7">
        <w:rPr>
          <w:rFonts w:ascii="Tahoma" w:hAnsi="Tahoma" w:cs="Tahoma"/>
          <w:sz w:val="24"/>
          <w:szCs w:val="24"/>
        </w:rPr>
        <w:t>en todas las circunstancias</w:t>
      </w:r>
      <w:r>
        <w:rPr>
          <w:rFonts w:ascii="Tahoma" w:hAnsi="Tahoma" w:cs="Tahoma"/>
          <w:sz w:val="24"/>
          <w:szCs w:val="24"/>
        </w:rPr>
        <w:t xml:space="preserve"> y</w:t>
      </w:r>
      <w:r w:rsidRPr="0069724B">
        <w:rPr>
          <w:rFonts w:ascii="Tahoma" w:hAnsi="Tahoma" w:cs="Tahoma"/>
          <w:sz w:val="24"/>
          <w:szCs w:val="24"/>
        </w:rPr>
        <w:t xml:space="preserve"> no conlleva </w:t>
      </w:r>
      <w:r w:rsidR="002329E7">
        <w:rPr>
          <w:rFonts w:ascii="Tahoma" w:hAnsi="Tahoma" w:cs="Tahoma"/>
          <w:sz w:val="24"/>
          <w:szCs w:val="24"/>
        </w:rPr>
        <w:t xml:space="preserve">a </w:t>
      </w:r>
      <w:r w:rsidRPr="0069724B">
        <w:rPr>
          <w:rFonts w:ascii="Tahoma" w:hAnsi="Tahoma" w:cs="Tahoma"/>
          <w:sz w:val="24"/>
          <w:szCs w:val="24"/>
        </w:rPr>
        <w:t>que los órganos jurisdiccionales dejen de observar en su labor los diversos principios y restricciones previstos en la Constitución Política de los Estados Unidos Mexicanos</w:t>
      </w:r>
      <w:r w:rsidR="002329E7">
        <w:rPr>
          <w:rFonts w:ascii="Tahoma" w:hAnsi="Tahoma" w:cs="Tahoma"/>
          <w:sz w:val="24"/>
          <w:szCs w:val="24"/>
        </w:rPr>
        <w:t>;</w:t>
      </w:r>
      <w:r>
        <w:rPr>
          <w:rFonts w:ascii="Tahoma" w:hAnsi="Tahoma" w:cs="Tahoma"/>
          <w:sz w:val="24"/>
          <w:szCs w:val="24"/>
        </w:rPr>
        <w:t xml:space="preserve"> por lo que, en el presente caso, </w:t>
      </w:r>
      <w:r w:rsidR="0025784F">
        <w:rPr>
          <w:rFonts w:ascii="Tahoma" w:hAnsi="Tahoma" w:cs="Tahoma"/>
          <w:sz w:val="24"/>
          <w:szCs w:val="24"/>
        </w:rPr>
        <w:t>al no advertirse</w:t>
      </w:r>
      <w:r w:rsidR="0025784F" w:rsidRPr="0025784F">
        <w:rPr>
          <w:rFonts w:ascii="Tahoma" w:hAnsi="Tahoma" w:cs="Tahoma"/>
          <w:sz w:val="24"/>
          <w:szCs w:val="24"/>
        </w:rPr>
        <w:t xml:space="preserve"> la sospecha de disconformidad de la norma aplicable o el acto de autoridad, con los derechos humanos reconocidos</w:t>
      </w:r>
      <w:r w:rsidR="0025784F">
        <w:rPr>
          <w:rFonts w:ascii="Tahoma" w:hAnsi="Tahoma" w:cs="Tahoma"/>
          <w:sz w:val="24"/>
          <w:szCs w:val="24"/>
        </w:rPr>
        <w:t>, no resulta aplicable;</w:t>
      </w:r>
    </w:p>
    <w:p w:rsidR="0052303C" w:rsidRDefault="0052303C" w:rsidP="0052303C">
      <w:pPr>
        <w:pStyle w:val="Prrafodelista"/>
        <w:spacing w:after="0" w:line="276" w:lineRule="auto"/>
        <w:jc w:val="both"/>
        <w:rPr>
          <w:rFonts w:ascii="Tahoma" w:hAnsi="Tahoma" w:cs="Tahoma"/>
          <w:sz w:val="24"/>
          <w:szCs w:val="24"/>
        </w:rPr>
      </w:pPr>
    </w:p>
    <w:p w:rsidR="007A1917" w:rsidRDefault="0025784F" w:rsidP="007A1917">
      <w:pPr>
        <w:pStyle w:val="Prrafodelista"/>
        <w:numPr>
          <w:ilvl w:val="0"/>
          <w:numId w:val="13"/>
        </w:numPr>
        <w:spacing w:after="0" w:line="276" w:lineRule="auto"/>
        <w:jc w:val="both"/>
        <w:rPr>
          <w:rFonts w:ascii="Tahoma" w:hAnsi="Tahoma" w:cs="Tahoma"/>
          <w:sz w:val="24"/>
          <w:szCs w:val="24"/>
        </w:rPr>
      </w:pPr>
      <w:r>
        <w:rPr>
          <w:rFonts w:ascii="Tahoma" w:hAnsi="Tahoma" w:cs="Tahoma"/>
          <w:sz w:val="24"/>
          <w:szCs w:val="24"/>
        </w:rPr>
        <w:t xml:space="preserve">Que la suplencia de la queja </w:t>
      </w:r>
      <w:r w:rsidRPr="0025784F">
        <w:rPr>
          <w:rFonts w:ascii="Tahoma" w:hAnsi="Tahoma" w:cs="Tahoma"/>
          <w:sz w:val="24"/>
          <w:szCs w:val="24"/>
        </w:rPr>
        <w:t xml:space="preserve">tiene como finalidad evitar la desigualdad entre las partes en conflicto, a través de corregir los errores o deficiencias en que incurran los reclamantes; no así introducir a la </w:t>
      </w:r>
      <w:r w:rsidR="002329E7" w:rsidRPr="002329E7">
        <w:rPr>
          <w:rFonts w:ascii="Tahoma" w:hAnsi="Tahoma" w:cs="Tahoma"/>
          <w:i/>
          <w:sz w:val="24"/>
          <w:szCs w:val="24"/>
        </w:rPr>
        <w:t>l</w:t>
      </w:r>
      <w:r w:rsidRPr="002329E7">
        <w:rPr>
          <w:rFonts w:ascii="Tahoma" w:hAnsi="Tahoma" w:cs="Tahoma"/>
          <w:i/>
          <w:sz w:val="24"/>
          <w:szCs w:val="24"/>
        </w:rPr>
        <w:t>itis</w:t>
      </w:r>
      <w:r w:rsidRPr="0025784F">
        <w:rPr>
          <w:rFonts w:ascii="Tahoma" w:hAnsi="Tahoma" w:cs="Tahoma"/>
          <w:sz w:val="24"/>
          <w:szCs w:val="24"/>
        </w:rPr>
        <w:t xml:space="preserve"> aspectos que no fueron motivos de agravio</w:t>
      </w:r>
      <w:r>
        <w:rPr>
          <w:rFonts w:ascii="Tahoma" w:hAnsi="Tahoma" w:cs="Tahoma"/>
          <w:sz w:val="24"/>
          <w:szCs w:val="24"/>
        </w:rPr>
        <w:t>.</w:t>
      </w:r>
    </w:p>
    <w:p w:rsidR="0052303C" w:rsidRDefault="0052303C" w:rsidP="0052303C">
      <w:pPr>
        <w:pStyle w:val="Prrafodelista"/>
        <w:spacing w:after="0" w:line="276" w:lineRule="auto"/>
        <w:jc w:val="both"/>
        <w:rPr>
          <w:rFonts w:ascii="Tahoma" w:hAnsi="Tahoma" w:cs="Tahoma"/>
          <w:sz w:val="24"/>
          <w:szCs w:val="24"/>
        </w:rPr>
      </w:pPr>
    </w:p>
    <w:p w:rsidR="007A1917" w:rsidRPr="007A1917" w:rsidRDefault="007A1917" w:rsidP="007A1917">
      <w:pPr>
        <w:pStyle w:val="Prrafodelista"/>
        <w:numPr>
          <w:ilvl w:val="0"/>
          <w:numId w:val="13"/>
        </w:numPr>
        <w:spacing w:after="0" w:line="276" w:lineRule="auto"/>
        <w:jc w:val="both"/>
        <w:rPr>
          <w:rFonts w:ascii="Tahoma" w:hAnsi="Tahoma" w:cs="Tahoma"/>
          <w:sz w:val="24"/>
          <w:szCs w:val="24"/>
        </w:rPr>
      </w:pPr>
      <w:r>
        <w:rPr>
          <w:rFonts w:ascii="Tahoma" w:hAnsi="Tahoma" w:cs="Tahoma"/>
          <w:sz w:val="24"/>
          <w:szCs w:val="24"/>
        </w:rPr>
        <w:lastRenderedPageBreak/>
        <w:t>Que el motivo de agravio del recurrente, fue la indebida elaboración de la versión pública, motivo por el cual, la presente Resolución debió abordar la clasificación realizada por el Sujeto Obligado y en su caso, brindar certeza jurídica al recurrente sobre la versión pública o, instruir al sujeto Obligado a ela</w:t>
      </w:r>
      <w:r w:rsidR="00712B7E">
        <w:rPr>
          <w:rFonts w:ascii="Tahoma" w:hAnsi="Tahoma" w:cs="Tahoma"/>
          <w:sz w:val="24"/>
          <w:szCs w:val="24"/>
        </w:rPr>
        <w:t>borar nuevas versiones públicas; asimismo, si era obligación del Ayuntamiento entregar el acta del Comité de Transparencia en un formato de datos abiertos.</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Así, con base en los razonamientos expuestos, </w:t>
      </w:r>
      <w:r w:rsidRPr="001106EA">
        <w:rPr>
          <w:rFonts w:ascii="Tahoma" w:hAnsi="Tahoma" w:cs="Tahoma"/>
          <w:b/>
          <w:sz w:val="24"/>
          <w:szCs w:val="24"/>
        </w:rPr>
        <w:t xml:space="preserve">se emite el presente </w:t>
      </w:r>
      <w:r w:rsidR="00FF22F6" w:rsidRPr="001106EA">
        <w:rPr>
          <w:rFonts w:ascii="Tahoma" w:hAnsi="Tahoma" w:cs="Tahoma"/>
          <w:b/>
          <w:sz w:val="24"/>
          <w:szCs w:val="24"/>
        </w:rPr>
        <w:t>V</w:t>
      </w:r>
      <w:r w:rsidRPr="001106EA">
        <w:rPr>
          <w:rFonts w:ascii="Tahoma" w:hAnsi="Tahoma" w:cs="Tahoma"/>
          <w:b/>
          <w:sz w:val="24"/>
          <w:szCs w:val="24"/>
        </w:rPr>
        <w:t xml:space="preserve">oto </w:t>
      </w:r>
      <w:r w:rsidR="00FF22F6"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Default="00553ADE" w:rsidP="00032450">
      <w:pPr>
        <w:spacing w:after="0" w:line="276" w:lineRule="auto"/>
        <w:jc w:val="center"/>
        <w:rPr>
          <w:rFonts w:ascii="Tahoma" w:hAnsi="Tahoma" w:cs="Tahoma"/>
          <w:b/>
          <w:sz w:val="24"/>
          <w:szCs w:val="24"/>
        </w:rPr>
      </w:pPr>
    </w:p>
    <w:p w:rsidR="001C65B0" w:rsidRPr="001106EA" w:rsidRDefault="001C65B0" w:rsidP="00032450">
      <w:pPr>
        <w:spacing w:after="0" w:line="276" w:lineRule="auto"/>
        <w:jc w:val="center"/>
        <w:rPr>
          <w:rFonts w:ascii="Tahoma" w:hAnsi="Tahoma" w:cs="Tahoma"/>
          <w:b/>
          <w:sz w:val="24"/>
          <w:szCs w:val="24"/>
        </w:rPr>
      </w:pPr>
      <w:bookmarkStart w:id="0" w:name="_GoBack"/>
      <w:bookmarkEnd w:id="0"/>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Luis Gustavo Parra Noriega</w:t>
      </w:r>
    </w:p>
    <w:p w:rsidR="00553ADE" w:rsidRDefault="00553ADE" w:rsidP="00032450">
      <w:pPr>
        <w:spacing w:after="0" w:line="276" w:lineRule="auto"/>
        <w:jc w:val="center"/>
        <w:rPr>
          <w:rFonts w:ascii="Tahoma" w:hAnsi="Tahoma" w:cs="Tahoma"/>
          <w:sz w:val="24"/>
          <w:szCs w:val="24"/>
        </w:rPr>
      </w:pPr>
      <w:r w:rsidRPr="001106EA">
        <w:rPr>
          <w:rFonts w:ascii="Tahoma" w:hAnsi="Tahoma" w:cs="Tahoma"/>
          <w:sz w:val="24"/>
          <w:szCs w:val="24"/>
        </w:rPr>
        <w:t>Comisionado</w:t>
      </w:r>
    </w:p>
    <w:sectPr w:rsidR="00553ADE"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D80" w:rsidRDefault="00A83D80" w:rsidP="00EE29F6">
      <w:pPr>
        <w:spacing w:after="0" w:line="240" w:lineRule="auto"/>
      </w:pPr>
      <w:r>
        <w:separator/>
      </w:r>
    </w:p>
  </w:endnote>
  <w:endnote w:type="continuationSeparator" w:id="0">
    <w:p w:rsidR="00A83D80" w:rsidRDefault="00A83D8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416221"/>
      <w:docPartObj>
        <w:docPartGallery w:val="Page Numbers (Bottom of Page)"/>
        <w:docPartUnique/>
      </w:docPartObj>
    </w:sdtPr>
    <w:sdtEndPr/>
    <w:sdtContent>
      <w:sdt>
        <w:sdtPr>
          <w:id w:val="1728636285"/>
          <w:docPartObj>
            <w:docPartGallery w:val="Page Numbers (Top of Page)"/>
            <w:docPartUnique/>
          </w:docPartObj>
        </w:sdtPr>
        <w:sdtEndPr/>
        <w:sdtContent>
          <w:p w:rsidR="00315991" w:rsidRDefault="00315991">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C65B0">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C65B0">
              <w:rPr>
                <w:b/>
                <w:bCs/>
                <w:noProof/>
              </w:rPr>
              <w:t>7</w:t>
            </w:r>
            <w:r>
              <w:rPr>
                <w:b/>
                <w:bCs/>
                <w:sz w:val="24"/>
                <w:szCs w:val="24"/>
              </w:rPr>
              <w:fldChar w:fldCharType="end"/>
            </w:r>
          </w:p>
        </w:sdtContent>
      </w:sdt>
    </w:sdtContent>
  </w:sdt>
  <w:p w:rsidR="00315991" w:rsidRDefault="003159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D80" w:rsidRDefault="00A83D80" w:rsidP="00EE29F6">
      <w:pPr>
        <w:spacing w:after="0" w:line="240" w:lineRule="auto"/>
      </w:pPr>
      <w:r>
        <w:separator/>
      </w:r>
    </w:p>
  </w:footnote>
  <w:footnote w:type="continuationSeparator" w:id="0">
    <w:p w:rsidR="00A83D80" w:rsidRDefault="00A83D80"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Pr="001106EA" w:rsidRDefault="001106EA" w:rsidP="001106EA">
          <w:pPr>
            <w:pStyle w:val="Encabezado"/>
            <w:ind w:left="-108" w:right="-250"/>
            <w:jc w:val="both"/>
            <w:rPr>
              <w:rFonts w:ascii="Tahoma" w:hAnsi="Tahoma" w:cs="Tahoma"/>
            </w:rPr>
          </w:pPr>
          <w:r w:rsidRPr="001106EA">
            <w:rPr>
              <w:rFonts w:ascii="Tahoma" w:hAnsi="Tahoma" w:cs="Tahoma"/>
              <w:b/>
            </w:rPr>
            <w:t xml:space="preserve">Recurso de Revisión: </w:t>
          </w:r>
          <w:r w:rsidR="00EC3F95">
            <w:rPr>
              <w:rFonts w:ascii="Tahoma" w:hAnsi="Tahoma" w:cs="Tahoma"/>
              <w:b/>
            </w:rPr>
            <w:t>02731</w:t>
          </w:r>
          <w:r w:rsidRPr="001106EA">
            <w:rPr>
              <w:rFonts w:ascii="Tahoma" w:hAnsi="Tahoma" w:cs="Tahoma"/>
              <w:b/>
            </w:rPr>
            <w:t>/INFOEM/IP/RR/2018</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1C6EF3"/>
    <w:multiLevelType w:val="hybridMultilevel"/>
    <w:tmpl w:val="3DA0A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C11013"/>
    <w:multiLevelType w:val="hybridMultilevel"/>
    <w:tmpl w:val="D718454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8"/>
  </w:num>
  <w:num w:numId="6">
    <w:abstractNumId w:val="2"/>
  </w:num>
  <w:num w:numId="7">
    <w:abstractNumId w:val="5"/>
  </w:num>
  <w:num w:numId="8">
    <w:abstractNumId w:val="11"/>
  </w:num>
  <w:num w:numId="9">
    <w:abstractNumId w:val="9"/>
  </w:num>
  <w:num w:numId="10">
    <w:abstractNumId w:val="10"/>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55D7D"/>
    <w:rsid w:val="00060F74"/>
    <w:rsid w:val="0006561A"/>
    <w:rsid w:val="00087AC8"/>
    <w:rsid w:val="000B235B"/>
    <w:rsid w:val="000B7F6F"/>
    <w:rsid w:val="000C10B7"/>
    <w:rsid w:val="000D186F"/>
    <w:rsid w:val="000E30B9"/>
    <w:rsid w:val="000F376C"/>
    <w:rsid w:val="000F4A5F"/>
    <w:rsid w:val="00104A75"/>
    <w:rsid w:val="001106EA"/>
    <w:rsid w:val="001159DC"/>
    <w:rsid w:val="00116E1A"/>
    <w:rsid w:val="00136AD8"/>
    <w:rsid w:val="001372F3"/>
    <w:rsid w:val="00140A57"/>
    <w:rsid w:val="0014736A"/>
    <w:rsid w:val="00162325"/>
    <w:rsid w:val="0018472D"/>
    <w:rsid w:val="00193AA8"/>
    <w:rsid w:val="001A145C"/>
    <w:rsid w:val="001C1C64"/>
    <w:rsid w:val="001C65B0"/>
    <w:rsid w:val="001D6868"/>
    <w:rsid w:val="00231B68"/>
    <w:rsid w:val="002329E7"/>
    <w:rsid w:val="00243A13"/>
    <w:rsid w:val="0025784F"/>
    <w:rsid w:val="002800B4"/>
    <w:rsid w:val="0028037C"/>
    <w:rsid w:val="00281E80"/>
    <w:rsid w:val="0028275E"/>
    <w:rsid w:val="00287B12"/>
    <w:rsid w:val="002A1727"/>
    <w:rsid w:val="002A2EE7"/>
    <w:rsid w:val="002C2405"/>
    <w:rsid w:val="002E5A1A"/>
    <w:rsid w:val="0030709B"/>
    <w:rsid w:val="00315991"/>
    <w:rsid w:val="003512C9"/>
    <w:rsid w:val="003B6547"/>
    <w:rsid w:val="003B7A5E"/>
    <w:rsid w:val="003F2426"/>
    <w:rsid w:val="0040139C"/>
    <w:rsid w:val="0042114D"/>
    <w:rsid w:val="004211BB"/>
    <w:rsid w:val="00433746"/>
    <w:rsid w:val="00434AB3"/>
    <w:rsid w:val="00434C88"/>
    <w:rsid w:val="00435E69"/>
    <w:rsid w:val="00442534"/>
    <w:rsid w:val="00445BDF"/>
    <w:rsid w:val="00446D89"/>
    <w:rsid w:val="004473C5"/>
    <w:rsid w:val="004817AD"/>
    <w:rsid w:val="00490F50"/>
    <w:rsid w:val="004A4555"/>
    <w:rsid w:val="004B541F"/>
    <w:rsid w:val="004C4912"/>
    <w:rsid w:val="004E7007"/>
    <w:rsid w:val="004F1B7F"/>
    <w:rsid w:val="00500174"/>
    <w:rsid w:val="0052303C"/>
    <w:rsid w:val="00524DA5"/>
    <w:rsid w:val="005419D8"/>
    <w:rsid w:val="00544812"/>
    <w:rsid w:val="00553ADE"/>
    <w:rsid w:val="0056120D"/>
    <w:rsid w:val="00582CCB"/>
    <w:rsid w:val="00584D73"/>
    <w:rsid w:val="00590C71"/>
    <w:rsid w:val="0059329D"/>
    <w:rsid w:val="005A2510"/>
    <w:rsid w:val="005C094E"/>
    <w:rsid w:val="005C27BE"/>
    <w:rsid w:val="005C73EE"/>
    <w:rsid w:val="005D11C8"/>
    <w:rsid w:val="005E0B43"/>
    <w:rsid w:val="005E2798"/>
    <w:rsid w:val="005E3707"/>
    <w:rsid w:val="006016F9"/>
    <w:rsid w:val="00605683"/>
    <w:rsid w:val="00610A16"/>
    <w:rsid w:val="006248F2"/>
    <w:rsid w:val="00625B4D"/>
    <w:rsid w:val="00636FD3"/>
    <w:rsid w:val="00645087"/>
    <w:rsid w:val="00652B5D"/>
    <w:rsid w:val="00654ACD"/>
    <w:rsid w:val="006716FF"/>
    <w:rsid w:val="00682003"/>
    <w:rsid w:val="00684B16"/>
    <w:rsid w:val="0069724B"/>
    <w:rsid w:val="006F5316"/>
    <w:rsid w:val="006F7877"/>
    <w:rsid w:val="00712B7E"/>
    <w:rsid w:val="00724F08"/>
    <w:rsid w:val="007378E2"/>
    <w:rsid w:val="00742770"/>
    <w:rsid w:val="00742A15"/>
    <w:rsid w:val="007633CC"/>
    <w:rsid w:val="0077694E"/>
    <w:rsid w:val="007A1917"/>
    <w:rsid w:val="007A2D13"/>
    <w:rsid w:val="007D3257"/>
    <w:rsid w:val="007F1C1D"/>
    <w:rsid w:val="007F7D80"/>
    <w:rsid w:val="00812D15"/>
    <w:rsid w:val="00814B57"/>
    <w:rsid w:val="008164A9"/>
    <w:rsid w:val="00836BC2"/>
    <w:rsid w:val="00861757"/>
    <w:rsid w:val="00872784"/>
    <w:rsid w:val="00896C2A"/>
    <w:rsid w:val="008A3DA9"/>
    <w:rsid w:val="008B08C9"/>
    <w:rsid w:val="008C5982"/>
    <w:rsid w:val="00922B2E"/>
    <w:rsid w:val="00927BD1"/>
    <w:rsid w:val="00950355"/>
    <w:rsid w:val="00974836"/>
    <w:rsid w:val="00982082"/>
    <w:rsid w:val="00984E54"/>
    <w:rsid w:val="009943E1"/>
    <w:rsid w:val="009B2C0B"/>
    <w:rsid w:val="009D07E2"/>
    <w:rsid w:val="009D49BE"/>
    <w:rsid w:val="009E41F7"/>
    <w:rsid w:val="00A364BA"/>
    <w:rsid w:val="00A45560"/>
    <w:rsid w:val="00A5061A"/>
    <w:rsid w:val="00A83D80"/>
    <w:rsid w:val="00A87924"/>
    <w:rsid w:val="00AA090B"/>
    <w:rsid w:val="00AF3B6B"/>
    <w:rsid w:val="00B263C5"/>
    <w:rsid w:val="00B61CDD"/>
    <w:rsid w:val="00B67355"/>
    <w:rsid w:val="00B7393F"/>
    <w:rsid w:val="00B761B1"/>
    <w:rsid w:val="00BB6EE3"/>
    <w:rsid w:val="00BC4882"/>
    <w:rsid w:val="00BD4705"/>
    <w:rsid w:val="00BD5DBE"/>
    <w:rsid w:val="00BE7887"/>
    <w:rsid w:val="00C130ED"/>
    <w:rsid w:val="00C30FD6"/>
    <w:rsid w:val="00C55FFC"/>
    <w:rsid w:val="00C75CE0"/>
    <w:rsid w:val="00CA050D"/>
    <w:rsid w:val="00CA7627"/>
    <w:rsid w:val="00CE50F9"/>
    <w:rsid w:val="00CF0CED"/>
    <w:rsid w:val="00D05740"/>
    <w:rsid w:val="00D13875"/>
    <w:rsid w:val="00D160F2"/>
    <w:rsid w:val="00D162DB"/>
    <w:rsid w:val="00D264EA"/>
    <w:rsid w:val="00D51426"/>
    <w:rsid w:val="00D55429"/>
    <w:rsid w:val="00D61638"/>
    <w:rsid w:val="00D65D0C"/>
    <w:rsid w:val="00D666D4"/>
    <w:rsid w:val="00D66DE7"/>
    <w:rsid w:val="00D7239D"/>
    <w:rsid w:val="00D75FAE"/>
    <w:rsid w:val="00D77F63"/>
    <w:rsid w:val="00D9114A"/>
    <w:rsid w:val="00DA11C0"/>
    <w:rsid w:val="00DF2F51"/>
    <w:rsid w:val="00E145E1"/>
    <w:rsid w:val="00E26123"/>
    <w:rsid w:val="00E34559"/>
    <w:rsid w:val="00E41481"/>
    <w:rsid w:val="00E416F8"/>
    <w:rsid w:val="00E6045A"/>
    <w:rsid w:val="00E82F77"/>
    <w:rsid w:val="00E83683"/>
    <w:rsid w:val="00EB7128"/>
    <w:rsid w:val="00EC3F95"/>
    <w:rsid w:val="00EE29F6"/>
    <w:rsid w:val="00EF135E"/>
    <w:rsid w:val="00F11F0A"/>
    <w:rsid w:val="00F14384"/>
    <w:rsid w:val="00F178D6"/>
    <w:rsid w:val="00F3171F"/>
    <w:rsid w:val="00F657B2"/>
    <w:rsid w:val="00FB3044"/>
    <w:rsid w:val="00FC1D9D"/>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BB89-2FFE-4AF3-9AFC-2A072F90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2156</Words>
  <Characters>11864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17</cp:revision>
  <cp:lastPrinted>2018-10-01T19:37:00Z</cp:lastPrinted>
  <dcterms:created xsi:type="dcterms:W3CDTF">2018-10-05T21:08:00Z</dcterms:created>
  <dcterms:modified xsi:type="dcterms:W3CDTF">2018-10-09T19:42:00Z</dcterms:modified>
</cp:coreProperties>
</file>